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Título:</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Como as eleições no Brasil podem redefinir as relações com a China</w:t>
      </w:r>
    </w:p>
    <w:p w:rsidR="00000000" w:rsidDel="00000000" w:rsidP="00000000" w:rsidRDefault="00000000" w:rsidRPr="00000000" w14:paraId="00000002">
      <w:pPr>
        <w:spacing w:after="240" w:before="240" w:lineRule="auto"/>
        <w:rPr>
          <w:rFonts w:ascii="Times New Roman" w:cs="Times New Roman" w:eastAsia="Times New Roman" w:hAnsi="Times New Roman"/>
          <w:color w:val="1155cc"/>
          <w:sz w:val="28"/>
          <w:szCs w:val="28"/>
          <w:u w:val="single"/>
        </w:rPr>
      </w:pPr>
      <w:r w:rsidDel="00000000" w:rsidR="00000000" w:rsidRPr="00000000">
        <w:rPr>
          <w:rFonts w:ascii="Times New Roman" w:cs="Times New Roman" w:eastAsia="Times New Roman" w:hAnsi="Times New Roman"/>
          <w:sz w:val="28"/>
          <w:szCs w:val="28"/>
          <w:rtl w:val="0"/>
        </w:rPr>
        <w:t xml:space="preserve">Por</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Tings Chak</w:t>
      </w:r>
      <w:r w:rsidDel="00000000" w:rsidR="00000000" w:rsidRPr="00000000">
        <w:rPr>
          <w:rtl w:val="0"/>
        </w:rPr>
      </w:r>
    </w:p>
    <w:p w:rsidR="00000000" w:rsidDel="00000000" w:rsidP="00000000" w:rsidRDefault="00000000" w:rsidRPr="00000000" w14:paraId="00000003">
      <w:pPr>
        <w:spacing w:after="240" w:before="240" w:lineRule="auto"/>
        <w:rPr>
          <w:rFonts w:ascii="Times New Roman" w:cs="Times New Roman" w:eastAsia="Times New Roman" w:hAnsi="Times New Roman"/>
          <w:i w:val="1"/>
          <w:iCs w:val="1"/>
          <w:color w:val="1155cc"/>
          <w:sz w:val="28"/>
          <w:szCs w:val="28"/>
          <w:u w:val="single"/>
        </w:rPr>
      </w:pPr>
      <w:r w:rsidDel="00000000" w:rsidR="00000000" w:rsidRPr="00000000">
        <w:rPr>
          <w:rFonts w:ascii="Times New Roman" w:cs="Times New Roman" w:eastAsia="Times New Roman" w:hAnsi="Times New Roman"/>
          <w:b w:val="1"/>
          <w:bCs w:val="1"/>
          <w:sz w:val="28"/>
          <w:szCs w:val="28"/>
          <w:rtl w:val="0"/>
        </w:rPr>
        <w:t xml:space="preserve">Biografia do </w:t>
      </w:r>
      <w:r w:rsidDel="00000000" w:rsidR="00000000" w:rsidRPr="00000000">
        <w:rPr>
          <w:rFonts w:ascii="Times New Roman" w:cs="Times New Roman" w:eastAsia="Times New Roman" w:hAnsi="Times New Roman"/>
          <w:b w:val="1"/>
          <w:bCs w:val="1"/>
          <w:sz w:val="28"/>
          <w:szCs w:val="28"/>
          <w:rtl w:val="0"/>
        </w:rPr>
        <w:t xml:space="preserve">autora</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Este artigo foi produzido pelo</w:t>
      </w:r>
      <w:hyperlink r:id="rId6">
        <w:r w:rsidDel="00000000" w:rsidR="00000000" w:rsidRPr="00000000">
          <w:rPr>
            <w:rFonts w:ascii="Times New Roman" w:cs="Times New Roman" w:eastAsia="Times New Roman" w:hAnsi="Times New Roman"/>
            <w:sz w:val="28"/>
            <w:szCs w:val="28"/>
            <w:rtl w:val="0"/>
          </w:rPr>
          <w:t xml:space="preserve"> </w:t>
        </w:r>
      </w:hyperlink>
      <w:hyperlink r:id="rId7">
        <w:r w:rsidDel="00000000" w:rsidR="00000000" w:rsidRPr="00000000">
          <w:rPr>
            <w:rFonts w:ascii="Times New Roman" w:cs="Times New Roman" w:eastAsia="Times New Roman" w:hAnsi="Times New Roman"/>
            <w:color w:val="1155cc"/>
            <w:sz w:val="28"/>
            <w:szCs w:val="28"/>
            <w:u w:val="single"/>
            <w:rtl w:val="0"/>
          </w:rPr>
          <w:t xml:space="preserve">Globetrotter</w:t>
        </w:r>
      </w:hyperlink>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Gungsuh" w:cs="Gungsuh" w:eastAsia="Gungsuh" w:hAnsi="Gungsuh"/>
          <w:sz w:val="28"/>
          <w:szCs w:val="28"/>
          <w:rtl w:val="0"/>
        </w:rPr>
        <w:t xml:space="preserve">Tings Chak (翟庭君) é coordenadora adjunta para a Ásia do</w:t>
      </w:r>
      <w:hyperlink r:id="rId8">
        <w:r w:rsidDel="00000000" w:rsidR="00000000" w:rsidRPr="00000000">
          <w:rPr>
            <w:rFonts w:ascii="Times New Roman" w:cs="Times New Roman" w:eastAsia="Times New Roman" w:hAnsi="Times New Roman"/>
            <w:sz w:val="28"/>
            <w:szCs w:val="28"/>
            <w:rtl w:val="0"/>
          </w:rPr>
          <w:t xml:space="preserve"> </w:t>
        </w:r>
      </w:hyperlink>
      <w:hyperlink r:id="rId9">
        <w:r w:rsidDel="00000000" w:rsidR="00000000" w:rsidRPr="00000000">
          <w:rPr>
            <w:rFonts w:ascii="Times New Roman" w:cs="Times New Roman" w:eastAsia="Times New Roman" w:hAnsi="Times New Roman"/>
            <w:color w:val="1155cc"/>
            <w:sz w:val="28"/>
            <w:szCs w:val="28"/>
            <w:u w:val="single"/>
            <w:rtl w:val="0"/>
          </w:rPr>
          <w:t xml:space="preserve">Tricontinental: Instituto de Pesquisa Social</w:t>
        </w:r>
      </w:hyperlink>
      <w:r w:rsidDel="00000000" w:rsidR="00000000" w:rsidRPr="00000000">
        <w:rPr>
          <w:rFonts w:ascii="Times New Roman" w:cs="Times New Roman" w:eastAsia="Times New Roman" w:hAnsi="Times New Roman"/>
          <w:sz w:val="28"/>
          <w:szCs w:val="28"/>
          <w:rtl w:val="0"/>
        </w:rPr>
        <w:t xml:space="preserve"> e editora da edição internacional da</w:t>
      </w:r>
      <w:hyperlink r:id="rId10">
        <w:r w:rsidDel="00000000" w:rsidR="00000000" w:rsidRPr="00000000">
          <w:rPr>
            <w:rFonts w:ascii="Times New Roman" w:cs="Times New Roman" w:eastAsia="Times New Roman" w:hAnsi="Times New Roman"/>
            <w:sz w:val="28"/>
            <w:szCs w:val="28"/>
            <w:rtl w:val="0"/>
          </w:rPr>
          <w:t xml:space="preserve"> </w:t>
        </w:r>
      </w:hyperlink>
      <w:hyperlink r:id="rId11">
        <w:r w:rsidDel="00000000" w:rsidR="00000000" w:rsidRPr="00000000">
          <w:rPr>
            <w:rFonts w:ascii="Times New Roman" w:cs="Times New Roman" w:eastAsia="Times New Roman" w:hAnsi="Times New Roman"/>
            <w:i w:val="1"/>
            <w:iCs w:val="1"/>
            <w:color w:val="1155cc"/>
            <w:sz w:val="28"/>
            <w:szCs w:val="28"/>
            <w:u w:val="single"/>
            <w:rtl w:val="0"/>
          </w:rPr>
          <w:t xml:space="preserve">Wenhua Zongheng: Revista de Pensamento Chinês Contemporâneo</w:t>
        </w:r>
      </w:hyperlink>
      <w:r w:rsidDel="00000000" w:rsidR="00000000" w:rsidRPr="00000000">
        <w:rPr>
          <w:rtl w:val="0"/>
        </w:rPr>
      </w:r>
    </w:p>
    <w:p w:rsidR="00000000" w:rsidDel="00000000" w:rsidP="00000000" w:rsidRDefault="00000000" w:rsidRPr="00000000" w14:paraId="0000000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Fonte:</w:t>
      </w:r>
      <w:r w:rsidDel="00000000" w:rsidR="00000000" w:rsidRPr="00000000">
        <w:rPr>
          <w:rFonts w:ascii="Times New Roman" w:cs="Times New Roman" w:eastAsia="Times New Roman" w:hAnsi="Times New Roman"/>
          <w:sz w:val="28"/>
          <w:szCs w:val="28"/>
          <w:rtl w:val="0"/>
        </w:rPr>
        <w:t xml:space="preserve"> Globetrotter</w:t>
      </w:r>
    </w:p>
    <w:p w:rsidR="00000000" w:rsidDel="00000000" w:rsidP="00000000" w:rsidRDefault="00000000" w:rsidRPr="00000000" w14:paraId="0000000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Tags: </w:t>
      </w:r>
      <w:r w:rsidDel="00000000" w:rsidR="00000000" w:rsidRPr="00000000">
        <w:rPr>
          <w:rFonts w:ascii="Times New Roman" w:cs="Times New Roman" w:eastAsia="Times New Roman" w:hAnsi="Times New Roman"/>
          <w:sz w:val="28"/>
          <w:szCs w:val="28"/>
          <w:rtl w:val="0"/>
        </w:rPr>
        <w:t xml:space="preserve">Opinião, Política, América Latina/Brasil, Ásia/China</w:t>
      </w:r>
    </w:p>
    <w:p w:rsidR="00000000" w:rsidDel="00000000" w:rsidP="00000000" w:rsidRDefault="00000000" w:rsidRPr="00000000" w14:paraId="00000006">
      <w:pPr>
        <w:spacing w:after="240" w:befor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7">
      <w:pPr>
        <w:spacing w:after="24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[Corpo do artigo:]</w:t>
      </w:r>
    </w:p>
    <w:p w:rsidR="00000000" w:rsidDel="00000000" w:rsidP="00000000" w:rsidRDefault="00000000" w:rsidRPr="00000000" w14:paraId="0000000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 25 de outubro, os brasileiros voltarão às urnas para escolher entre o presidente Luiz Inácio Lula da Silva e Flávio Bolsonaro, filho do ex-presidente Jair Bolsonaro, que foi condenado a 27 anos de prisão por seu papel em uma tentativa de golpe. O primeiro turno deu a Flávio 47,03% dos votos válidos contra 45,16% de Lula, revelando a força duradoura da extrema direita quatro anos após sua derrota eleitoral. O segundo turno ocorre enquanto Donald Trump busca restaurar o domínio dos EUA sobre a América Latina, com o Brasil emergindo como um importante campo de batalha na campanha de Washington para conter o fortalecimento das relações da China com a região.</w:t>
      </w:r>
    </w:p>
    <w:p w:rsidR="00000000" w:rsidDel="00000000" w:rsidP="00000000" w:rsidRDefault="00000000" w:rsidRPr="00000000" w14:paraId="0000000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Nas últimas duas décadas, o Brasil e a China construíram uma parceria política que ampliou o espaço para ações independentes entre os países do Sul Global. Sob a liderança de Lula e Xi Jinping, essa relação se aprofundou por meio da cooperação em desenvolvimento industrial, infraestrutura, ciência e tecnologia. A eleição determinará se esse projeto avançará ou se a orientação internacional do Brasil ficará subordinada à versão renovada da Doutrina Monroe de Washington, no contexto da guinada à direita do continente.</w:t>
      </w:r>
    </w:p>
    <w:p w:rsidR="00000000" w:rsidDel="00000000" w:rsidP="00000000" w:rsidRDefault="00000000" w:rsidRPr="00000000" w14:paraId="0000000A">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Desde o retorno de Lula à presidência em 2023, os dois governos têm articulado a cooperação chinesa com os programas de desenvolvimento do Brasil, incluindo a Nova Indústria Brasil, o Programa de Aceleração do Crescimento (PAC) e o Plano de Transformação Ecológica. A visita de Lula a Pequim, em maio de 2025, resultou em 36 acordos abrangendo infraestrutura, finanças, inteligência artificial, saúde pública e cooperação industrial. Por trás desses acordos está um desafio de longa data: superar a posição de dependência do Brasil na divisão internacional do trabalho, com as exportações de commodities continuando a superar o desenvolvimento industrial e tecnológico avançado.</w:t>
      </w:r>
    </w:p>
    <w:p w:rsidR="00000000" w:rsidDel="00000000" w:rsidP="00000000" w:rsidRDefault="00000000" w:rsidRPr="00000000" w14:paraId="0000000B">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Essa cooperação também alcançou os movimentos populares brasileiros. Por meio da Associação Internacional de Cooperação Popular (Baobab), o Movimento dos Trabalhadores Rurais Sem Terra (MST) e outras organizações têm trabalhado com instituições chinesas em mecanização agrícola, bioinsumos e tecnologias digitais para a agricultura familiar.</w:t>
      </w:r>
    </w:p>
    <w:p w:rsidR="00000000" w:rsidDel="00000000" w:rsidP="00000000" w:rsidRDefault="00000000" w:rsidRPr="00000000" w14:paraId="0000000C">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Essas iniciativas incluem o </w:t>
      </w:r>
      <w:hyperlink r:id="rId12">
        <w:r w:rsidDel="00000000" w:rsidR="00000000" w:rsidRPr="00000000">
          <w:rPr>
            <w:rFonts w:ascii="Times New Roman" w:cs="Times New Roman" w:eastAsia="Times New Roman" w:hAnsi="Times New Roman"/>
            <w:color w:val="1155cc"/>
            <w:sz w:val="28"/>
            <w:szCs w:val="28"/>
            <w:u w:val="single"/>
            <w:rtl w:val="0"/>
          </w:rPr>
          <w:t xml:space="preserve">Laboratório Digital de Agricultura Familiar e Agroecologia</w:t>
        </w:r>
      </w:hyperlink>
      <w:r w:rsidDel="00000000" w:rsidR="00000000" w:rsidRPr="00000000">
        <w:rPr>
          <w:rFonts w:ascii="Times New Roman" w:cs="Times New Roman" w:eastAsia="Times New Roman" w:hAnsi="Times New Roman"/>
          <w:sz w:val="28"/>
          <w:szCs w:val="28"/>
          <w:rtl w:val="0"/>
        </w:rPr>
        <w:t xml:space="preserve"> e o </w:t>
      </w:r>
      <w:hyperlink r:id="rId13">
        <w:r w:rsidDel="00000000" w:rsidR="00000000" w:rsidRPr="00000000">
          <w:rPr>
            <w:rFonts w:ascii="Times New Roman" w:cs="Times New Roman" w:eastAsia="Times New Roman" w:hAnsi="Times New Roman"/>
            <w:color w:val="1155cc"/>
            <w:sz w:val="28"/>
            <w:szCs w:val="28"/>
            <w:u w:val="single"/>
            <w:rtl w:val="0"/>
          </w:rPr>
          <w:t xml:space="preserve">IARAA</w:t>
        </w:r>
      </w:hyperlink>
      <w:r w:rsidDel="00000000" w:rsidR="00000000" w:rsidRPr="00000000">
        <w:rPr>
          <w:rFonts w:ascii="Times New Roman" w:cs="Times New Roman" w:eastAsia="Times New Roman" w:hAnsi="Times New Roman"/>
          <w:sz w:val="28"/>
          <w:szCs w:val="28"/>
          <w:rtl w:val="0"/>
        </w:rPr>
        <w:t xml:space="preserve">, um projeto de inteligência artificial para agroecologia e reforma agrária desenvolvido por movimentos populares brasileiros utilizando modelos chineses de código aberto. Em um meio rural marcado por concentrações extremas de terra, maquinário e capital, essa cooperação oferece novas ferramentas às organizações camponesas que lutam pela reforma agrária e pela produção de alimentos saudáveis.</w:t>
      </w:r>
    </w:p>
    <w:p w:rsidR="00000000" w:rsidDel="00000000" w:rsidP="00000000" w:rsidRDefault="00000000" w:rsidRPr="00000000" w14:paraId="0000000D">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relação do Brasil com a China também revela os diferentes interesses de classe em jogo no país, com contradições particularmente visíveis no campo. As exportações maciças de soja, carne e minerais continuaram tanto no governo de Bolsonaro quanto no de Lula, mas seus governos buscaram relações políticas muito diferentes com Pequim. Enquanto Jair Bolsonaro atacou a China e se alinhou com Washington, Lula buscou aprofundar a cooperação estratégica, inclusive em desenvolvimento industrial, tecnologia e reforma agrária. Flávio Bolsonaro promete agora uma relação “</w:t>
      </w:r>
      <w:hyperlink r:id="rId14">
        <w:r w:rsidDel="00000000" w:rsidR="00000000" w:rsidRPr="00000000">
          <w:rPr>
            <w:rFonts w:ascii="Times New Roman" w:cs="Times New Roman" w:eastAsia="Times New Roman" w:hAnsi="Times New Roman"/>
            <w:color w:val="1155cc"/>
            <w:sz w:val="28"/>
            <w:szCs w:val="28"/>
            <w:u w:val="single"/>
            <w:rtl w:val="0"/>
          </w:rPr>
          <w:t xml:space="preserve">economicamente pragmática</w:t>
        </w:r>
      </w:hyperlink>
      <w:r w:rsidDel="00000000" w:rsidR="00000000" w:rsidRPr="00000000">
        <w:rPr>
          <w:rFonts w:ascii="Times New Roman" w:cs="Times New Roman" w:eastAsia="Times New Roman" w:hAnsi="Times New Roman"/>
          <w:sz w:val="28"/>
          <w:szCs w:val="28"/>
          <w:rtl w:val="0"/>
        </w:rPr>
        <w:t xml:space="preserve">” com a China, ao mesmo tempo em que cultiva laços estreitos com Trump. Para setores das classes dominantes brasileiras que lucram com as exportações de commodities, continuar vendendo para a China enquanto se adota a agenda política de Washington não representa grande contradição. Para os esforços do Brasil de reconstruir sua indústria e desenvolver soberania tecnológica, as consequências são muito maiores.</w:t>
      </w:r>
    </w:p>
    <w:p w:rsidR="00000000" w:rsidDel="00000000" w:rsidP="00000000" w:rsidRDefault="00000000" w:rsidRPr="00000000" w14:paraId="0000000E">
      <w:pPr>
        <w:spacing w:after="24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 retorno da Doutrina Monroe</w:t>
      </w:r>
    </w:p>
    <w:p w:rsidR="00000000" w:rsidDel="00000000" w:rsidP="00000000" w:rsidRDefault="00000000" w:rsidRPr="00000000" w14:paraId="0000000F">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ambições de Washington ficaram explícitas em sua </w:t>
      </w:r>
      <w:hyperlink r:id="rId15">
        <w:r w:rsidDel="00000000" w:rsidR="00000000" w:rsidRPr="00000000">
          <w:rPr>
            <w:rFonts w:ascii="Times New Roman" w:cs="Times New Roman" w:eastAsia="Times New Roman" w:hAnsi="Times New Roman"/>
            <w:color w:val="1155cc"/>
            <w:sz w:val="28"/>
            <w:szCs w:val="28"/>
            <w:u w:val="single"/>
            <w:rtl w:val="0"/>
          </w:rPr>
          <w:t xml:space="preserve">Estratégia de Segurança Nacional</w:t>
        </w:r>
      </w:hyperlink>
      <w:r w:rsidDel="00000000" w:rsidR="00000000" w:rsidRPr="00000000">
        <w:rPr>
          <w:rFonts w:ascii="Times New Roman" w:cs="Times New Roman" w:eastAsia="Times New Roman" w:hAnsi="Times New Roman"/>
          <w:sz w:val="28"/>
          <w:szCs w:val="28"/>
          <w:rtl w:val="0"/>
        </w:rPr>
        <w:t xml:space="preserve"> de dezembro de 2025, que anunciou um “Corolário Trump” à Doutrina Monroe, visando restaurar a preeminência dos EUA no Hemisfério Ocidental e impedir que potências externas controlem recursos estratégicos e infraestrutura. Cinco dias depois, a China publicou seu </w:t>
      </w:r>
      <w:hyperlink r:id="rId16">
        <w:r w:rsidDel="00000000" w:rsidR="00000000" w:rsidRPr="00000000">
          <w:rPr>
            <w:rFonts w:ascii="Times New Roman" w:cs="Times New Roman" w:eastAsia="Times New Roman" w:hAnsi="Times New Roman"/>
            <w:color w:val="1155cc"/>
            <w:sz w:val="28"/>
            <w:szCs w:val="28"/>
            <w:u w:val="single"/>
            <w:rtl w:val="0"/>
          </w:rPr>
          <w:t xml:space="preserve">terceiro documento de política para a América Latina</w:t>
        </w:r>
      </w:hyperlink>
      <w:r w:rsidDel="00000000" w:rsidR="00000000" w:rsidRPr="00000000">
        <w:rPr>
          <w:rFonts w:ascii="Times New Roman" w:cs="Times New Roman" w:eastAsia="Times New Roman" w:hAnsi="Times New Roman"/>
          <w:sz w:val="28"/>
          <w:szCs w:val="28"/>
          <w:rtl w:val="0"/>
        </w:rPr>
        <w:t xml:space="preserve">, reafirmando a soberania, a não interferência, a integração regional, a cooperação tecnológica e o apoio à região como uma Zona de Paz. Os dois documentos revelam </w:t>
      </w:r>
      <w:hyperlink r:id="rId17">
        <w:r w:rsidDel="00000000" w:rsidR="00000000" w:rsidRPr="00000000">
          <w:rPr>
            <w:rFonts w:ascii="Times New Roman" w:cs="Times New Roman" w:eastAsia="Times New Roman" w:hAnsi="Times New Roman"/>
            <w:color w:val="1155cc"/>
            <w:sz w:val="28"/>
            <w:szCs w:val="28"/>
            <w:u w:val="single"/>
            <w:rtl w:val="0"/>
          </w:rPr>
          <w:t xml:space="preserve">abordagens fundamentalmente diferentes</w:t>
        </w:r>
      </w:hyperlink>
      <w:r w:rsidDel="00000000" w:rsidR="00000000" w:rsidRPr="00000000">
        <w:rPr>
          <w:rFonts w:ascii="Times New Roman" w:cs="Times New Roman" w:eastAsia="Times New Roman" w:hAnsi="Times New Roman"/>
          <w:sz w:val="28"/>
          <w:szCs w:val="28"/>
          <w:rtl w:val="0"/>
        </w:rPr>
        <w:t xml:space="preserve"> em relação ao futuro político do continente.</w:t>
      </w:r>
    </w:p>
    <w:p w:rsidR="00000000" w:rsidDel="00000000" w:rsidP="00000000" w:rsidRDefault="00000000" w:rsidRPr="00000000" w14:paraId="00000010">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posição do Brasil é decisiva. Como maior economia da América Latina, membro fundador do BRICS e participante de destaque no Mercosul, o país possui capacidades industriais, científicas e políticas que poderiam fortalecer o desenvolvimento independente em toda a América Latina e além.</w:t>
      </w:r>
    </w:p>
    <w:p w:rsidR="00000000" w:rsidDel="00000000" w:rsidP="00000000" w:rsidRDefault="00000000" w:rsidRPr="00000000" w14:paraId="0000001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surgimento de uma nova era tecnológica torna essa disputa particularmente significativa. O Brasil está entre os poucos países do Sul Global capazes de buscar a soberania digital e tecnológica que poderia beneficiar seus vizinhos e partes da África. Sua participação de aproximadamente 23% nas reservas globais de terras raras é um importante ponto de partida, mas o controle apenas sobre os minerais é insuficiente. O maior desafio é desenvolver a capacidade de processá-los, fabricar componentes avançados e construir a infraestrutura digital, os sistemas de inteligência artificial e as tecnologias que moldarão a produção futura.</w:t>
      </w:r>
    </w:p>
    <w:p w:rsidR="00000000" w:rsidDel="00000000" w:rsidP="00000000" w:rsidRDefault="00000000" w:rsidRPr="00000000" w14:paraId="0000001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Flávio deixou sua orientação clara. Em discurso na Conferência de Ação Política Conservadora (CPAC) nos Estados Unidos, em março de 2026,</w:t>
      </w:r>
      <w:hyperlink r:id="rId18">
        <w:r w:rsidDel="00000000" w:rsidR="00000000" w:rsidRPr="00000000">
          <w:rPr>
            <w:rFonts w:ascii="Times New Roman" w:cs="Times New Roman" w:eastAsia="Times New Roman" w:hAnsi="Times New Roman"/>
            <w:color w:val="1155cc"/>
            <w:sz w:val="28"/>
            <w:szCs w:val="28"/>
            <w:u w:val="single"/>
            <w:rtl w:val="0"/>
          </w:rPr>
          <w:t xml:space="preserve"> ele apresentou o Brasil como a “solução” para a dependência de Washington em relação à China no que diz respeito a minerais críticos</w:t>
        </w:r>
      </w:hyperlink>
      <w:r w:rsidDel="00000000" w:rsidR="00000000" w:rsidRPr="00000000">
        <w:rPr>
          <w:rFonts w:ascii="Times New Roman" w:cs="Times New Roman" w:eastAsia="Times New Roman" w:hAnsi="Times New Roman"/>
          <w:sz w:val="28"/>
          <w:szCs w:val="28"/>
          <w:rtl w:val="0"/>
        </w:rPr>
        <w:t xml:space="preserve">, vinculando explicitamente as terras raras à inteligência artificial e à superioridade militar dos EUA. A imprensa econômica chinesa também descreveu propostas de sua equipe para excluir a China das cadeias de abastecimento de terras raras. Em vez de usar os recursos do Brasil para desenvolver suas próprias capacidades industriais e tecnológicas, essa agenda os colocaria a serviço do poder tecnológico e militar dos EUA.</w:t>
      </w:r>
    </w:p>
    <w:p w:rsidR="00000000" w:rsidDel="00000000" w:rsidP="00000000" w:rsidRDefault="00000000" w:rsidRPr="00000000" w14:paraId="0000001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mesma orientação política se estende à soberania digital. Em julho de 2026, a campanha de Flávio </w:t>
      </w:r>
      <w:hyperlink r:id="rId19">
        <w:r w:rsidDel="00000000" w:rsidR="00000000" w:rsidRPr="00000000">
          <w:rPr>
            <w:rFonts w:ascii="Times New Roman" w:cs="Times New Roman" w:eastAsia="Times New Roman" w:hAnsi="Times New Roman"/>
            <w:color w:val="1155cc"/>
            <w:sz w:val="28"/>
            <w:szCs w:val="28"/>
            <w:u w:val="single"/>
            <w:rtl w:val="0"/>
          </w:rPr>
          <w:t xml:space="preserve">apresentou propostas às autoridades comerciais dos EUA</w:t>
        </w:r>
      </w:hyperlink>
      <w:r w:rsidDel="00000000" w:rsidR="00000000" w:rsidRPr="00000000">
        <w:rPr>
          <w:rFonts w:ascii="Times New Roman" w:cs="Times New Roman" w:eastAsia="Times New Roman" w:hAnsi="Times New Roman"/>
          <w:sz w:val="28"/>
          <w:szCs w:val="28"/>
          <w:rtl w:val="0"/>
        </w:rPr>
        <w:t xml:space="preserve"> que incluíam impedir que o sistema de pagamentos brasileiro Pix se conectasse a redes internacionais de pagamentos não ocidentais e flexibilizar compromissos no âmbito do Mercosul. Essas propostas convergem com uma campanha mais ampla dos EUA envolvendo tarifas, regulamentação digital, minerais estratégicos e </w:t>
      </w:r>
      <w:hyperlink r:id="rId20">
        <w:r w:rsidDel="00000000" w:rsidR="00000000" w:rsidRPr="00000000">
          <w:rPr>
            <w:rFonts w:ascii="Times New Roman" w:cs="Times New Roman" w:eastAsia="Times New Roman" w:hAnsi="Times New Roman"/>
            <w:color w:val="1155cc"/>
            <w:sz w:val="28"/>
            <w:szCs w:val="28"/>
            <w:u w:val="single"/>
            <w:rtl w:val="0"/>
          </w:rPr>
          <w:t xml:space="preserve">tentativas de influenciar o processo eleitoral brasileiro</w:t>
        </w:r>
      </w:hyperlink>
      <w:r w:rsidDel="00000000" w:rsidR="00000000" w:rsidRPr="00000000">
        <w:rPr>
          <w:rFonts w:ascii="Times New Roman" w:cs="Times New Roman" w:eastAsia="Times New Roman" w:hAnsi="Times New Roman"/>
          <w:sz w:val="28"/>
          <w:szCs w:val="28"/>
          <w:rtl w:val="0"/>
        </w:rPr>
        <w:t xml:space="preserve">. Enquanto isso, o bombardeio de Washington à Venezuela em janeiro de 2026 e o sequestro de Nicolás Maduro e Cilia Flores demonstraram até onde o país está disposto a ir para impor sua vontade no continente.</w:t>
      </w:r>
    </w:p>
    <w:p w:rsidR="00000000" w:rsidDel="00000000" w:rsidP="00000000" w:rsidRDefault="00000000" w:rsidRPr="00000000" w14:paraId="00000014">
      <w:pPr>
        <w:spacing w:after="24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 BRICS e a luta por uma política externa independente</w:t>
      </w:r>
    </w:p>
    <w:p w:rsidR="00000000" w:rsidDel="00000000" w:rsidP="00000000" w:rsidRDefault="00000000" w:rsidRPr="00000000" w14:paraId="0000001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Brasil, particularmente sob o governo de Lula, ajudou a construir instituições por meio das quais os países do Sul Global podem reduzir sua dependência de estruturas dominadas pelo Ocidente. Na </w:t>
      </w:r>
      <w:hyperlink r:id="rId21">
        <w:r w:rsidDel="00000000" w:rsidR="00000000" w:rsidRPr="00000000">
          <w:rPr>
            <w:rFonts w:ascii="Times New Roman" w:cs="Times New Roman" w:eastAsia="Times New Roman" w:hAnsi="Times New Roman"/>
            <w:color w:val="1155cc"/>
            <w:sz w:val="28"/>
            <w:szCs w:val="28"/>
            <w:u w:val="single"/>
            <w:rtl w:val="0"/>
          </w:rPr>
          <w:t xml:space="preserve">cúpula do BRICS de julho de 2025, no Rio de Janeiro</w:t>
        </w:r>
      </w:hyperlink>
      <w:r w:rsidDel="00000000" w:rsidR="00000000" w:rsidRPr="00000000">
        <w:rPr>
          <w:rFonts w:ascii="Times New Roman" w:cs="Times New Roman" w:eastAsia="Times New Roman" w:hAnsi="Times New Roman"/>
          <w:sz w:val="28"/>
          <w:szCs w:val="28"/>
          <w:rtl w:val="0"/>
        </w:rPr>
        <w:t xml:space="preserve">, o grupo avançou na cooperação em financiamento para o desenvolvimento, transações em moeda local e reforma institucional internacional. O Novo Banco de Desenvolvimento, presidido pela ex-presidente brasileira Dilma Rousseff, é uma importante manifestação desse esforço.</w:t>
      </w:r>
    </w:p>
    <w:p w:rsidR="00000000" w:rsidDel="00000000" w:rsidP="00000000" w:rsidRDefault="00000000" w:rsidRPr="00000000" w14:paraId="00000016">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BRICS não pode, por si só, superar a dependência econômica nem garantir a soberania dos trabalhadores. No entanto, sua expansão oferece maior espaço para o desenvolvimento independente, desde que os governos participantes tenham o compromisso político de aproveitar essas possibilidades.</w:t>
      </w:r>
    </w:p>
    <w:p w:rsidR="00000000" w:rsidDel="00000000" w:rsidP="00000000" w:rsidRDefault="00000000" w:rsidRPr="00000000" w14:paraId="00000017">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história do Brasil revela como tem sido difícil defender essa independência. Em 1961, o vice-presidente João Goulart tornou-se o primeiro representante de alto escalão de um governo latino-americano a visitar a República Popular da China, encontrando-se com Mao Zedong quando a China revolucionária permanecia diplomaticamente isolada e sujeita a sanções dos EUA. Três anos depois, Goulart foi derrubado em um golpe civil-militar apoiado pelos EUA que deu início a uma ditadura de 21 anos. A </w:t>
      </w:r>
      <w:hyperlink r:id="rId22">
        <w:r w:rsidDel="00000000" w:rsidR="00000000" w:rsidRPr="00000000">
          <w:rPr>
            <w:rFonts w:ascii="Times New Roman" w:cs="Times New Roman" w:eastAsia="Times New Roman" w:hAnsi="Times New Roman"/>
            <w:color w:val="1155cc"/>
            <w:sz w:val="28"/>
            <w:szCs w:val="28"/>
            <w:u w:val="single"/>
            <w:rtl w:val="0"/>
          </w:rPr>
          <w:t xml:space="preserve">história inicial da amizade entre a China e o Brasil</w:t>
        </w:r>
      </w:hyperlink>
      <w:r w:rsidDel="00000000" w:rsidR="00000000" w:rsidRPr="00000000">
        <w:rPr>
          <w:rFonts w:ascii="Times New Roman" w:cs="Times New Roman" w:eastAsia="Times New Roman" w:hAnsi="Times New Roman"/>
          <w:sz w:val="28"/>
          <w:szCs w:val="28"/>
          <w:rtl w:val="0"/>
        </w:rPr>
        <w:t xml:space="preserve"> era indissociável das lutas pela soberania nacional, pela reforma agrária e pelas forças determinadas a suprimi-las.</w:t>
      </w:r>
    </w:p>
    <w:p w:rsidR="00000000" w:rsidDel="00000000" w:rsidP="00000000" w:rsidRDefault="00000000" w:rsidRPr="00000000" w14:paraId="0000001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condições materiais internacionais para a cooperação Sul-Sul são consideravelmente mais favoráveis hoje, mas a direção política continua sendo decisiva. Jair Bolsonaro sediou a cúpula do BRICS de 2019 em Brasília, ao mesmo tempo em que buscava um alinhamento cada vez mais estreito com Washington. Um governo pode enfraquecer as instituições por dentro ao abandonar os compromissos que lhes conferem substância política.</w:t>
      </w:r>
    </w:p>
    <w:p w:rsidR="00000000" w:rsidDel="00000000" w:rsidP="00000000" w:rsidRDefault="00000000" w:rsidRPr="00000000" w14:paraId="0000001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ressurgimento da extrema direita também reflete o poder duradouro das próprias classes dominantes do Brasil. O bolsonarismo tem uma base interna em setores do agronegócio, do setor financeiro, do aparato de segurança, das milícias, das redes religiosas conservadoras e da grande mídia. Essas forças, cujos </w:t>
      </w:r>
      <w:hyperlink r:id="rId23">
        <w:r w:rsidDel="00000000" w:rsidR="00000000" w:rsidRPr="00000000">
          <w:rPr>
            <w:rFonts w:ascii="Times New Roman" w:cs="Times New Roman" w:eastAsia="Times New Roman" w:hAnsi="Times New Roman"/>
            <w:color w:val="1155cc"/>
            <w:sz w:val="28"/>
            <w:szCs w:val="28"/>
            <w:u w:val="single"/>
            <w:rtl w:val="0"/>
          </w:rPr>
          <w:t xml:space="preserve">avanços eleitorais e institucionais</w:t>
        </w:r>
      </w:hyperlink>
      <w:r w:rsidDel="00000000" w:rsidR="00000000" w:rsidRPr="00000000">
        <w:rPr>
          <w:rFonts w:ascii="Times New Roman" w:cs="Times New Roman" w:eastAsia="Times New Roman" w:hAnsi="Times New Roman"/>
          <w:sz w:val="28"/>
          <w:szCs w:val="28"/>
          <w:rtl w:val="0"/>
        </w:rPr>
        <w:t xml:space="preserve"> têm</w:t>
      </w:r>
      <w:r w:rsidDel="00000000" w:rsidR="00000000" w:rsidRPr="00000000">
        <w:rPr>
          <w:rFonts w:ascii="Times New Roman" w:cs="Times New Roman" w:eastAsia="Times New Roman" w:hAnsi="Times New Roman"/>
          <w:color w:val="1155cc"/>
          <w:sz w:val="28"/>
          <w:szCs w:val="28"/>
          <w:u w:val="single"/>
          <w:rtl w:val="0"/>
        </w:rPr>
        <w:t xml:space="preserve"> </w:t>
      </w:r>
      <w:r w:rsidDel="00000000" w:rsidR="00000000" w:rsidRPr="00000000">
        <w:rPr>
          <w:rFonts w:ascii="Times New Roman" w:cs="Times New Roman" w:eastAsia="Times New Roman" w:hAnsi="Times New Roman"/>
          <w:sz w:val="28"/>
          <w:szCs w:val="28"/>
          <w:rtl w:val="0"/>
        </w:rPr>
        <w:t xml:space="preserve">sido </w:t>
      </w:r>
      <w:hyperlink r:id="rId24">
        <w:r w:rsidDel="00000000" w:rsidR="00000000" w:rsidRPr="00000000">
          <w:rPr>
            <w:rFonts w:ascii="Times New Roman" w:cs="Times New Roman" w:eastAsia="Times New Roman" w:hAnsi="Times New Roman"/>
            <w:color w:val="1155cc"/>
            <w:sz w:val="28"/>
            <w:szCs w:val="28"/>
            <w:u w:val="single"/>
            <w:rtl w:val="0"/>
          </w:rPr>
          <w:t xml:space="preserve">continuado</w:t>
        </w:r>
      </w:hyperlink>
      <w:r w:rsidDel="00000000" w:rsidR="00000000" w:rsidRPr="00000000">
        <w:rPr>
          <w:rFonts w:ascii="Times New Roman" w:cs="Times New Roman" w:eastAsia="Times New Roman" w:hAnsi="Times New Roman"/>
          <w:sz w:val="28"/>
          <w:szCs w:val="28"/>
          <w:rtl w:val="0"/>
        </w:rPr>
        <w:t xml:space="preserve">, foram fortalecidas pelo golpe parlamentar de 2016 contra Dilma Rousseff e pela perseguição judicial a Lula. Elas possuem suas próprias organizações, interesses materiais e fontes de poder, que não desaparecem quando uma eleição é perdida. Sua dependência econômica dos mercados chineses não impediu seu apoio à agenda política de Washington.</w:t>
      </w:r>
    </w:p>
    <w:p w:rsidR="00000000" w:rsidDel="00000000" w:rsidP="00000000" w:rsidRDefault="00000000" w:rsidRPr="00000000" w14:paraId="0000001A">
      <w:pPr>
        <w:spacing w:after="24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Além da eleição</w:t>
      </w:r>
    </w:p>
    <w:p w:rsidR="00000000" w:rsidDel="00000000" w:rsidP="00000000" w:rsidRDefault="00000000" w:rsidRPr="00000000" w14:paraId="0000001B">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Pequim acompanhou de perto a eleição brasileira, indicando a importância da relação política construída entre Lula e Xi ao longo de anos de cooperação. Em julho, Xi reafirmou o apoio da China ao Brasil contra interferências externas durante uma conversa com Lula, que também abordou a cooperação em inteligência artificial, satélites, beneficiamento de minerais e as relações entre a China e o Mercosul. Em setembro, o ministro das Relações Exteriores, Wang Yi, recebeu em Pequim o assessor de Lula e ex-ministro das Relações Exteriores, Celso Amorim, reafirmando a parceria estratégica bilateral.</w:t>
      </w:r>
    </w:p>
    <w:p w:rsidR="00000000" w:rsidDel="00000000" w:rsidP="00000000" w:rsidRDefault="00000000" w:rsidRPr="00000000" w14:paraId="0000001C">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princípio de não interferência da China significa que a escolha do governo brasileiro cabe ao povo brasileiro, mas a contenção diplomática de Pequim não deve ser confundida com a ausência de interesses políticos ou com a suposição de que todos os governos buscariam o mesmo tipo de relação. Analistas chineses descreveram o possível cenário sob o governo de Flávio como um de </w:t>
      </w:r>
      <w:r w:rsidDel="00000000" w:rsidR="00000000" w:rsidRPr="00000000">
        <w:rPr>
          <w:rFonts w:ascii="Times New Roman" w:cs="Times New Roman" w:eastAsia="Times New Roman" w:hAnsi="Times New Roman"/>
          <w:sz w:val="28"/>
          <w:szCs w:val="28"/>
          <w:rtl w:val="0"/>
        </w:rPr>
        <w:t xml:space="preserve">“</w:t>
      </w:r>
      <w:hyperlink r:id="rId25">
        <w:r w:rsidDel="00000000" w:rsidR="00000000" w:rsidRPr="00000000">
          <w:rPr>
            <w:rFonts w:ascii="Times New Roman" w:cs="Times New Roman" w:eastAsia="Times New Roman" w:hAnsi="Times New Roman"/>
            <w:color w:val="1155cc"/>
            <w:sz w:val="28"/>
            <w:szCs w:val="28"/>
            <w:u w:val="single"/>
            <w:rtl w:val="0"/>
          </w:rPr>
          <w:t xml:space="preserve">política fria, economia quente</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o comércio de commodities provavelmente continuaria, mas a relação política e a cooperação em setores estratégicos poderiam se deteriorar. A experiência da presidência de Jair Bolsonaro já mostrou os limites dos interesses comerciais na sustentação de uma parceria política mais ampla.</w:t>
      </w:r>
    </w:p>
    <w:p w:rsidR="00000000" w:rsidDel="00000000" w:rsidP="00000000" w:rsidRDefault="00000000" w:rsidRPr="00000000" w14:paraId="0000001D">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Para o povo brasileiro, as consequências vão muito além da política externa. A eleição também moldará as lutas pelos direitos trabalhistas, pelos serviços públicos, pela reforma agrária e pela defesa do espaço democrático. O papel renovado do Brasil na cooperação Sul-Sul sob o governo de Lula abriu possibilidades para um projeto de desenvolvimento que atenda às necessidades de sua classe trabalhadora, mas a concretização dessas possibilidades depende das forças políticas e sociais capazes de levá-lo adiante.</w:t>
      </w:r>
    </w:p>
    <w:p w:rsidR="00000000" w:rsidDel="00000000" w:rsidP="00000000" w:rsidRDefault="00000000" w:rsidRPr="00000000" w14:paraId="0000001E">
      <w:pPr>
        <w:spacing w:after="240" w:before="240" w:lineRule="auto"/>
        <w:rPr/>
      </w:pPr>
      <w:r w:rsidDel="00000000" w:rsidR="00000000" w:rsidRPr="00000000">
        <w:rPr>
          <w:rFonts w:ascii="Times New Roman" w:cs="Times New Roman" w:eastAsia="Times New Roman" w:hAnsi="Times New Roman"/>
          <w:sz w:val="28"/>
          <w:szCs w:val="28"/>
          <w:rtl w:val="0"/>
        </w:rPr>
        <w:t xml:space="preserve">O povo brasileiro lutou contra ditaduras, reestruturações neoliberais, golpes parlamentares e a ascensão da extrema direita para defender suas conquistas políticas e sociais. Esta eleição é mais um momento nessa longa luta, que agora se desenrola em meio a uma renovada intervenção imperialista dos EUA e a uma transformação dos fundamentos tecnológicos do mundo. O futuro da cooperação China-Brasil dependerá da capacidade das forças populares organizadas de construir um projeto nacional soberano e transformar a cooperação internacional em mudanças duradouras na vida das pessoas.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portal.globetrotter.media/2026/10/03/how-trump-tries-to-decide-the-elections-in-brazil/" TargetMode="External"/><Relationship Id="rId22" Type="http://schemas.openxmlformats.org/officeDocument/2006/relationships/hyperlink" Target="https://mronline.org/2024/11/19/seven-decades-of-china-brazil-friendship-literature-agrarian-reform-and-the-1964-coup/" TargetMode="External"/><Relationship Id="rId21" Type="http://schemas.openxmlformats.org/officeDocument/2006/relationships/hyperlink" Target="http://brics.utoronto.ca/docs/250706-declaration.html" TargetMode="External"/><Relationship Id="rId24" Type="http://schemas.openxmlformats.org/officeDocument/2006/relationships/hyperlink" Target="https://portal.globetrotter.media/2026/10/08/brazils-angry-tide-and-the-struggles-ahead/" TargetMode="External"/><Relationship Id="rId23" Type="http://schemas.openxmlformats.org/officeDocument/2006/relationships/hyperlink" Target="https://portal.globetrotter.media/2026/10/08/brazils-angry-tide-and-the-struggles-ahea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hetricontinental.org/asia/" TargetMode="External"/><Relationship Id="rId25" Type="http://schemas.openxmlformats.org/officeDocument/2006/relationships/hyperlink" Target="https://www.21jingji.com/article/20261004/herald/16928f77ce31e3aa1fb518458bc871f5.html" TargetMode="External"/><Relationship Id="rId5" Type="http://schemas.openxmlformats.org/officeDocument/2006/relationships/styles" Target="styles.xml"/><Relationship Id="rId6" Type="http://schemas.openxmlformats.org/officeDocument/2006/relationships/hyperlink" Target="https://globetrotter.media/" TargetMode="External"/><Relationship Id="rId7" Type="http://schemas.openxmlformats.org/officeDocument/2006/relationships/hyperlink" Target="https://globetrotter.media/" TargetMode="External"/><Relationship Id="rId8" Type="http://schemas.openxmlformats.org/officeDocument/2006/relationships/hyperlink" Target="https://thetricontinental.org/asia/" TargetMode="External"/><Relationship Id="rId11" Type="http://schemas.openxmlformats.org/officeDocument/2006/relationships/hyperlink" Target="https://thetricontinental.org/wenhua-zongheng/" TargetMode="External"/><Relationship Id="rId10" Type="http://schemas.openxmlformats.org/officeDocument/2006/relationships/hyperlink" Target="https://thetricontinental.org/wenhua-zongheng/" TargetMode="External"/><Relationship Id="rId13" Type="http://schemas.openxmlformats.org/officeDocument/2006/relationships/hyperlink" Target="https://mst.org.br/2026/05/21/iaraa-uma-ia-para-socializar-os-saberes-do-campo/" TargetMode="External"/><Relationship Id="rId12" Type="http://schemas.openxmlformats.org/officeDocument/2006/relationships/hyperlink" Target="https://mst.org.br/2026/07/24/iniciativa-do-mst-e-escolhida-pela-china-como-um-dos-dez-melhores-exemplos-de-como-a-ia-pode-beneficiar-o/" TargetMode="External"/><Relationship Id="rId15" Type="http://schemas.openxmlformats.org/officeDocument/2006/relationships/hyperlink" Target="https://www.whitehouse.gov/wp-content/uploads/2025/12/2025-National-Security-Strategy.pdf" TargetMode="External"/><Relationship Id="rId14" Type="http://schemas.openxmlformats.org/officeDocument/2006/relationships/hyperlink" Target="https://valorinternational.globo.com/politics/news/2026/09/22/flavio-bolsonaro-vows-pragmatic-relationship-with-china-if-elected.ghtml" TargetMode="External"/><Relationship Id="rId17" Type="http://schemas.openxmlformats.org/officeDocument/2006/relationships/hyperlink" Target="https://breakthroughnews.org/2025/12/17/china-and-the-trump-corollary-to-the-monroe-doctrine/" TargetMode="External"/><Relationship Id="rId16" Type="http://schemas.openxmlformats.org/officeDocument/2006/relationships/hyperlink" Target="https://www.fmprc.gov.cn/eng/zy/gb/202512/t20251210_11769962.html" TargetMode="External"/><Relationship Id="rId19" Type="http://schemas.openxmlformats.org/officeDocument/2006/relationships/hyperlink" Target="https://www.bbc.com/portuguese/articles/cz9l047qg3zo" TargetMode="External"/><Relationship Id="rId18" Type="http://schemas.openxmlformats.org/officeDocument/2006/relationships/hyperlink" Target="https://www.cnnbrasil.com.br/politica/flavio-diz-que-brasil-e-solucao-para-eua-ter-minerais-de-terras-rar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