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Groenlandia no está en venta: la “Doctrina Donroe” de Trump y el imperialismo estadounidense</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Vijay Prashad</w:t>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del autor: </w:t>
      </w:r>
      <w:r w:rsidDel="00000000" w:rsidR="00000000" w:rsidRPr="00000000">
        <w:rPr>
          <w:rFonts w:ascii="Times New Roman" w:cs="Times New Roman" w:eastAsia="Times New Roman" w:hAnsi="Times New Roman"/>
          <w:sz w:val="28"/>
          <w:szCs w:val="28"/>
          <w:rtl w:val="0"/>
        </w:rPr>
        <w:t xml:space="preserve">Este artículo fue elaborado por </w:t>
      </w:r>
      <w:hyperlink r:id="rId6">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Vijay Prashad es un historiador y periodista indio. Es autor de cuarenta libros, entre los que se incluyen </w:t>
      </w:r>
      <w:r w:rsidDel="00000000" w:rsidR="00000000" w:rsidRPr="00000000">
        <w:rPr>
          <w:rFonts w:ascii="Times New Roman" w:cs="Times New Roman" w:eastAsia="Times New Roman" w:hAnsi="Times New Roman"/>
          <w:i w:val="1"/>
          <w:iCs w:val="1"/>
          <w:sz w:val="28"/>
          <w:szCs w:val="28"/>
          <w:rtl w:val="0"/>
        </w:rPr>
        <w:t xml:space="preserve">Balas de Washington, Una estrella roja sobre el Tercer Mundo, Las naciones oscuras: una historia del Tercer Mundo; Las naciones pobres: una posible historia del Sur Global</w:t>
      </w:r>
      <w:r w:rsidDel="00000000" w:rsidR="00000000" w:rsidRPr="00000000">
        <w:rPr>
          <w:rFonts w:ascii="Times New Roman" w:cs="Times New Roman" w:eastAsia="Times New Roman" w:hAnsi="Times New Roman"/>
          <w:sz w:val="28"/>
          <w:szCs w:val="28"/>
          <w:rtl w:val="0"/>
        </w:rPr>
        <w:t xml:space="preserve"> y </w:t>
      </w:r>
      <w:r w:rsidDel="00000000" w:rsidR="00000000" w:rsidRPr="00000000">
        <w:rPr>
          <w:rFonts w:ascii="Times New Roman" w:cs="Times New Roman" w:eastAsia="Times New Roman" w:hAnsi="Times New Roman"/>
          <w:i w:val="1"/>
          <w:iCs w:val="1"/>
          <w:sz w:val="28"/>
          <w:szCs w:val="28"/>
          <w:rtl w:val="0"/>
        </w:rPr>
        <w:t xml:space="preserve">How the International Monetary Fund Suffocates Africa</w:t>
      </w:r>
      <w:r w:rsidDel="00000000" w:rsidR="00000000" w:rsidRPr="00000000">
        <w:rPr>
          <w:rFonts w:ascii="Times New Roman" w:cs="Times New Roman" w:eastAsia="Times New Roman" w:hAnsi="Times New Roman"/>
          <w:sz w:val="28"/>
          <w:szCs w:val="28"/>
          <w:rtl w:val="0"/>
        </w:rPr>
        <w:t xml:space="preserve">, escrito con Grieve Chelwa. Es el director ejecutivo de </w:t>
      </w:r>
      <w:hyperlink r:id="rId7">
        <w:r w:rsidDel="00000000" w:rsidR="00000000" w:rsidRPr="00000000">
          <w:rPr>
            <w:rFonts w:ascii="Times New Roman" w:cs="Times New Roman" w:eastAsia="Times New Roman" w:hAnsi="Times New Roman"/>
            <w:color w:val="1155cc"/>
            <w:sz w:val="28"/>
            <w:szCs w:val="28"/>
            <w:u w:val="single"/>
            <w:rtl w:val="0"/>
          </w:rPr>
          <w:t xml:space="preserve">Tricontinental: Instituto de Investigación Social</w:t>
        </w:r>
      </w:hyperlink>
      <w:r w:rsidDel="00000000" w:rsidR="00000000" w:rsidRPr="00000000">
        <w:rPr>
          <w:rFonts w:ascii="Times New Roman" w:cs="Times New Roman" w:eastAsia="Times New Roman" w:hAnsi="Times New Roman"/>
          <w:sz w:val="28"/>
          <w:szCs w:val="28"/>
          <w:rtl w:val="0"/>
        </w:rPr>
        <w:t xml:space="preserve">, corresponsal jefe de Globetrotter, y el editor jefe de </w:t>
      </w:r>
      <w:hyperlink r:id="rId8">
        <w:r w:rsidDel="00000000" w:rsidR="00000000" w:rsidRPr="00000000">
          <w:rPr>
            <w:rFonts w:ascii="Times New Roman" w:cs="Times New Roman" w:eastAsia="Times New Roman" w:hAnsi="Times New Roman"/>
            <w:color w:val="1155cc"/>
            <w:sz w:val="28"/>
            <w:szCs w:val="28"/>
            <w:u w:val="single"/>
            <w:rtl w:val="0"/>
          </w:rPr>
          <w:t xml:space="preserve">LeftWord Books</w:t>
        </w:r>
      </w:hyperlink>
      <w:r w:rsidDel="00000000" w:rsidR="00000000" w:rsidRPr="00000000">
        <w:rPr>
          <w:rFonts w:ascii="Times New Roman" w:cs="Times New Roman" w:eastAsia="Times New Roman" w:hAnsi="Times New Roman"/>
          <w:sz w:val="28"/>
          <w:szCs w:val="28"/>
          <w:rtl w:val="0"/>
        </w:rPr>
        <w:t xml:space="preserve"> (Nueva Delhi). También ha hecho apariciones en las películas </w:t>
      </w:r>
      <w:r w:rsidDel="00000000" w:rsidR="00000000" w:rsidRPr="00000000">
        <w:rPr>
          <w:rFonts w:ascii="Times New Roman" w:cs="Times New Roman" w:eastAsia="Times New Roman" w:hAnsi="Times New Roman"/>
          <w:i w:val="1"/>
          <w:iCs w:val="1"/>
          <w:sz w:val="28"/>
          <w:szCs w:val="28"/>
          <w:rtl w:val="0"/>
        </w:rPr>
        <w:t xml:space="preserve">Shadow World</w:t>
      </w:r>
      <w:r w:rsidDel="00000000" w:rsidR="00000000" w:rsidRPr="00000000">
        <w:rPr>
          <w:rFonts w:ascii="Times New Roman" w:cs="Times New Roman" w:eastAsia="Times New Roman" w:hAnsi="Times New Roman"/>
          <w:sz w:val="28"/>
          <w:szCs w:val="28"/>
          <w:rtl w:val="0"/>
        </w:rPr>
        <w:t xml:space="preserve"> (2016) y </w:t>
      </w:r>
      <w:r w:rsidDel="00000000" w:rsidR="00000000" w:rsidRPr="00000000">
        <w:rPr>
          <w:rFonts w:ascii="Times New Roman" w:cs="Times New Roman" w:eastAsia="Times New Roman" w:hAnsi="Times New Roman"/>
          <w:i w:val="1"/>
          <w:iCs w:val="1"/>
          <w:sz w:val="28"/>
          <w:szCs w:val="28"/>
          <w:rtl w:val="0"/>
        </w:rPr>
        <w:t xml:space="preserve">Two Meetings</w:t>
      </w:r>
      <w:r w:rsidDel="00000000" w:rsidR="00000000" w:rsidRPr="00000000">
        <w:rPr>
          <w:rFonts w:ascii="Times New Roman" w:cs="Times New Roman" w:eastAsia="Times New Roman" w:hAnsi="Times New Roman"/>
          <w:sz w:val="28"/>
          <w:szCs w:val="28"/>
          <w:rtl w:val="0"/>
        </w:rPr>
        <w:t xml:space="preserve"> (2017). </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 </w:t>
      </w:r>
      <w:r w:rsidDel="00000000" w:rsidR="00000000" w:rsidRPr="00000000">
        <w:rPr>
          <w:rFonts w:ascii="Times New Roman" w:cs="Times New Roman" w:eastAsia="Times New Roman" w:hAnsi="Times New Roman"/>
          <w:sz w:val="28"/>
          <w:szCs w:val="28"/>
          <w:rtl w:val="0"/>
        </w:rPr>
        <w:t xml:space="preserve">Groenlandia, América del Norte/Estados Unidos, Derecho internacional, Historia, Derechos humanos, Noticias, Política</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campaña de Donald Trump para poner a Groenlandia bajo el control de los Estados Unidos a menudo se ha descartado como pura fanfarronería. Eso es un error. Detrás del lenguaje de un acuerdo inmobiliario se esconde un intento serio de revivir un antiguo principio imperial: que Washington pueda decidir el futuro político y económico de todo el hemisferio occidental. Groenlandia, estratégicamente ubicada entre América del Norte y Europa, se ha convertido en una prueba de esa afirmación – y de si la soberanía de una pequeña nación indígena cuenta cuando entra en conflicto con las ambiciones de una gran potencia.</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Trump planteó la idea de comprar Groenlandia durante su primer mandato presidencial en 2019. Tras su reelección, la propuesta se volvió más agresiva. En diciembre de 2024 declaró que la “propiedad y el control” de Groenlandia por parte de los Estados Unidos eran una “necesidad absoluta”. El 7 de enero de 2025,</w:t>
      </w:r>
      <w:r w:rsidDel="00000000" w:rsidR="00000000" w:rsidRPr="00000000">
        <w:rPr>
          <w:rFonts w:ascii="Times New Roman" w:cs="Times New Roman" w:eastAsia="Times New Roman" w:hAnsi="Times New Roman"/>
          <w:sz w:val="28"/>
          <w:szCs w:val="28"/>
          <w:rtl w:val="0"/>
        </w:rPr>
        <w:t xml:space="preserve"> </w:t>
      </w:r>
      <w:hyperlink r:id="rId9">
        <w:r w:rsidDel="00000000" w:rsidR="00000000" w:rsidRPr="00000000">
          <w:rPr>
            <w:rFonts w:ascii="Times New Roman" w:cs="Times New Roman" w:eastAsia="Times New Roman" w:hAnsi="Times New Roman"/>
            <w:color w:val="1155cc"/>
            <w:sz w:val="28"/>
            <w:szCs w:val="28"/>
            <w:u w:val="single"/>
            <w:rtl w:val="0"/>
          </w:rPr>
          <w:t xml:space="preserve">se negó</w:t>
        </w:r>
      </w:hyperlink>
      <w:r w:rsidDel="00000000" w:rsidR="00000000" w:rsidRPr="00000000">
        <w:rPr>
          <w:rFonts w:ascii="Times New Roman" w:cs="Times New Roman" w:eastAsia="Times New Roman" w:hAnsi="Times New Roman"/>
          <w:sz w:val="28"/>
          <w:szCs w:val="28"/>
          <w:rtl w:val="0"/>
        </w:rPr>
        <w:t xml:space="preserve"> a descartar la coacción militar o económica contra Groenlandia y el Canal de Panamá, afirmando: “Necesitamos Groenlandia por motivos de seguridad nacional”. Posteriormente, insistió en que los Estados Unidos se haría con la isla “de una forma u otra”. Esta afirmación combinaba varios argumentos: Groenlandia es vital para la defensa antimisiles; Rusia y China amenazan el Ártico; los yacimientos de tierras raras de Groenlandia tienen un valor estratégico; y, supuestamente, los groenlandeses acogerían con agrado el dominio estadounidense.</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 última afirmación resultó ser demostrablemente falsa. Una encuesta de enero de 2025, realizada tanto en groenlandés como en danés</w:t>
      </w:r>
      <w:r w:rsidDel="00000000" w:rsidR="00000000" w:rsidRPr="00000000">
        <w:rPr>
          <w:rFonts w:ascii="Times New Roman" w:cs="Times New Roman" w:eastAsia="Times New Roman" w:hAnsi="Times New Roman"/>
          <w:sz w:val="28"/>
          <w:szCs w:val="28"/>
          <w:rtl w:val="0"/>
        </w:rPr>
        <w:t xml:space="preserve">, </w:t>
      </w:r>
      <w:hyperlink r:id="rId10">
        <w:r w:rsidDel="00000000" w:rsidR="00000000" w:rsidRPr="00000000">
          <w:rPr>
            <w:rFonts w:ascii="Times New Roman" w:cs="Times New Roman" w:eastAsia="Times New Roman" w:hAnsi="Times New Roman"/>
            <w:color w:val="1155cc"/>
            <w:sz w:val="28"/>
            <w:szCs w:val="28"/>
            <w:u w:val="single"/>
            <w:rtl w:val="0"/>
          </w:rPr>
          <w:t xml:space="preserve">reveló</w:t>
        </w:r>
      </w:hyperlink>
      <w:r w:rsidDel="00000000" w:rsidR="00000000" w:rsidRPr="00000000">
        <w:rPr>
          <w:rFonts w:ascii="Times New Roman" w:cs="Times New Roman" w:eastAsia="Times New Roman" w:hAnsi="Times New Roman"/>
          <w:sz w:val="28"/>
          <w:szCs w:val="28"/>
          <w:rtl w:val="0"/>
        </w:rPr>
        <w:t xml:space="preserve"> que el 85% de la población de Groenlandia se oponía a abandonar el reino danés para unirse a los Estados Unidos, mientras que solo el 6% lo apoyaba. Sin embargo, la misma encuesta mostró que una mayoría estaba a favor de una eventual independencia. Esa distinción es fundamental. El deseo de los groenlandeses de poner fin a la tutela colonial danesa no puede interpretarse como un consentimiento a la anexión estadounidense.</w:t>
      </w:r>
    </w:p>
    <w:p w:rsidR="00000000" w:rsidDel="00000000" w:rsidP="00000000" w:rsidRDefault="00000000" w:rsidRPr="00000000" w14:paraId="0000000B">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Una relación militar sin anexión</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argumento de seguridad a favor de la propiedad estadounidense es engañoso, ya que Washington ya goza de amplios derechos militares en Groenlandia. La relación comenzó durante la Segunda Guerra Mundial. Con Dinamarca ocupada por la Alemania nazi, su embajador en Washington firmó un </w:t>
      </w:r>
      <w:hyperlink r:id="rId11">
        <w:r w:rsidDel="00000000" w:rsidR="00000000" w:rsidRPr="00000000">
          <w:rPr>
            <w:rFonts w:ascii="Times New Roman" w:cs="Times New Roman" w:eastAsia="Times New Roman" w:hAnsi="Times New Roman"/>
            <w:color w:val="1155cc"/>
            <w:sz w:val="28"/>
            <w:szCs w:val="28"/>
            <w:u w:val="single"/>
            <w:rtl w:val="0"/>
          </w:rPr>
          <w:t xml:space="preserve">acuerdo</w:t>
        </w:r>
      </w:hyperlink>
      <w:r w:rsidDel="00000000" w:rsidR="00000000" w:rsidRPr="00000000">
        <w:rPr>
          <w:rFonts w:ascii="Times New Roman" w:cs="Times New Roman" w:eastAsia="Times New Roman" w:hAnsi="Times New Roman"/>
          <w:sz w:val="28"/>
          <w:szCs w:val="28"/>
          <w:rtl w:val="0"/>
        </w:rPr>
        <w:t xml:space="preserve"> de 1941 que permitía a los Estados Unidos defender Groenlandia y construir instalaciones allí. Dinamarca </w:t>
      </w:r>
      <w:hyperlink r:id="rId12">
        <w:r w:rsidDel="00000000" w:rsidR="00000000" w:rsidRPr="00000000">
          <w:rPr>
            <w:rFonts w:ascii="Times New Roman" w:cs="Times New Roman" w:eastAsia="Times New Roman" w:hAnsi="Times New Roman"/>
            <w:color w:val="1155cc"/>
            <w:sz w:val="28"/>
            <w:szCs w:val="28"/>
            <w:u w:val="single"/>
            <w:rtl w:val="0"/>
          </w:rPr>
          <w:t xml:space="preserve">solicitó</w:t>
        </w:r>
      </w:hyperlink>
      <w:r w:rsidDel="00000000" w:rsidR="00000000" w:rsidRPr="00000000">
        <w:rPr>
          <w:rFonts w:ascii="Times New Roman" w:cs="Times New Roman" w:eastAsia="Times New Roman" w:hAnsi="Times New Roman"/>
          <w:sz w:val="28"/>
          <w:szCs w:val="28"/>
          <w:rtl w:val="0"/>
        </w:rPr>
        <w:t xml:space="preserve"> la retirada estadounidense después de la guerra, pero prevaleció la estrategia de la Guerra Fría.</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Acuerdo de Defensa de Groenlandia de 1951, celebrado en el marco del Tratado del Atlántico Norte,</w:t>
      </w:r>
      <w:r w:rsidDel="00000000" w:rsidR="00000000" w:rsidRPr="00000000">
        <w:rPr>
          <w:rFonts w:ascii="Times New Roman" w:cs="Times New Roman" w:eastAsia="Times New Roman" w:hAnsi="Times New Roman"/>
          <w:sz w:val="28"/>
          <w:szCs w:val="28"/>
          <w:rtl w:val="0"/>
        </w:rPr>
        <w:t xml:space="preserve"> </w:t>
      </w:r>
      <w:hyperlink r:id="rId13">
        <w:r w:rsidDel="00000000" w:rsidR="00000000" w:rsidRPr="00000000">
          <w:rPr>
            <w:rFonts w:ascii="Times New Roman" w:cs="Times New Roman" w:eastAsia="Times New Roman" w:hAnsi="Times New Roman"/>
            <w:color w:val="1155cc"/>
            <w:sz w:val="28"/>
            <w:szCs w:val="28"/>
            <w:u w:val="single"/>
            <w:rtl w:val="0"/>
          </w:rPr>
          <w:t xml:space="preserve">autorizó</w:t>
        </w:r>
      </w:hyperlink>
      <w:r w:rsidDel="00000000" w:rsidR="00000000" w:rsidRPr="00000000">
        <w:rPr>
          <w:rFonts w:ascii="Times New Roman" w:cs="Times New Roman" w:eastAsia="Times New Roman" w:hAnsi="Times New Roman"/>
          <w:sz w:val="28"/>
          <w:szCs w:val="28"/>
          <w:rtl w:val="0"/>
        </w:rPr>
        <w:t xml:space="preserve"> a</w:t>
      </w:r>
      <w:r w:rsidDel="00000000" w:rsidR="00000000" w:rsidRPr="00000000">
        <w:rPr>
          <w:rFonts w:ascii="Times New Roman" w:cs="Times New Roman" w:eastAsia="Times New Roman" w:hAnsi="Times New Roman"/>
          <w:sz w:val="28"/>
          <w:szCs w:val="28"/>
          <w:rtl w:val="0"/>
        </w:rPr>
        <w:t xml:space="preserve"> los Estados Unidos a establecer y operar “zonas de defensa”. Esto permitió la rápida construcción de la Base Aérea de Thule – rebautizada como Base Espacial de Pituffik en 2023 – en un lugar ideal para las rutas aéreas y de misiles más cortas entre la Unión Soviética y América del Norte. En el apogeo de la Guerra Fría, los Estados Unidos operaba numerosas instalaciones en toda Groenlandia. Hoy en día, Pituffik, la base militar más septentrional de Washington, desempeña funciones de alerta de misiles, defensa antimisiles y vigilancia espacial.</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acuerdo ofrece a Washington una amplia libertad operativa. Una enmienda de 2004 – el Acuerdo de Igaliku – </w:t>
      </w:r>
      <w:hyperlink r:id="rId14">
        <w:r w:rsidDel="00000000" w:rsidR="00000000" w:rsidRPr="00000000">
          <w:rPr>
            <w:rFonts w:ascii="Times New Roman" w:cs="Times New Roman" w:eastAsia="Times New Roman" w:hAnsi="Times New Roman"/>
            <w:color w:val="1155cc"/>
            <w:sz w:val="28"/>
            <w:szCs w:val="28"/>
            <w:u w:val="single"/>
            <w:rtl w:val="0"/>
          </w:rPr>
          <w:t xml:space="preserve">reconoció</w:t>
        </w:r>
      </w:hyperlink>
      <w:r w:rsidDel="00000000" w:rsidR="00000000" w:rsidRPr="00000000">
        <w:rPr>
          <w:rFonts w:ascii="Times New Roman" w:cs="Times New Roman" w:eastAsia="Times New Roman" w:hAnsi="Times New Roman"/>
          <w:sz w:val="28"/>
          <w:szCs w:val="28"/>
          <w:rtl w:val="0"/>
        </w:rPr>
        <w:t xml:space="preserve"> al Gobierno autónomo de Groenlandia, estableció a Pituffik como la única zona de defensa existente y exigió la consulta previa antes de realizar cambios significativos o crear nuevas zonas de defensa. También estableció la cooperación en temas económicos, técnicos y ambientales. En otras palabras, si los Estados Unidos considera que se necesitan más radares, puertos, aeródromos o personal, ya existe un mecanismo legal para negociarlo con Dinamarca y Groenlandia. La soberanía, por lo tanto, no es un requisito militar.</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historia de las bases también explica por qué “seguridad” no es un término neutral en Groenlandia. En 1953, las autoridades danesas</w:t>
      </w:r>
      <w:r w:rsidDel="00000000" w:rsidR="00000000" w:rsidRPr="00000000">
        <w:rPr>
          <w:rFonts w:ascii="Times New Roman" w:cs="Times New Roman" w:eastAsia="Times New Roman" w:hAnsi="Times New Roman"/>
          <w:sz w:val="28"/>
          <w:szCs w:val="28"/>
          <w:rtl w:val="0"/>
        </w:rPr>
        <w:t xml:space="preserve"> </w:t>
      </w:r>
      <w:hyperlink r:id="rId15">
        <w:r w:rsidDel="00000000" w:rsidR="00000000" w:rsidRPr="00000000">
          <w:rPr>
            <w:rFonts w:ascii="Times New Roman" w:cs="Times New Roman" w:eastAsia="Times New Roman" w:hAnsi="Times New Roman"/>
            <w:color w:val="1155cc"/>
            <w:sz w:val="28"/>
            <w:szCs w:val="28"/>
            <w:u w:val="single"/>
            <w:rtl w:val="0"/>
          </w:rPr>
          <w:t xml:space="preserve">ordenaron</w:t>
        </w:r>
      </w:hyperlink>
      <w:r w:rsidDel="00000000" w:rsidR="00000000" w:rsidRPr="00000000">
        <w:rPr>
          <w:rFonts w:ascii="Times New Roman" w:cs="Times New Roman" w:eastAsia="Times New Roman" w:hAnsi="Times New Roman"/>
          <w:sz w:val="28"/>
          <w:szCs w:val="28"/>
          <w:rtl w:val="0"/>
        </w:rPr>
        <w:t xml:space="preserve"> a</w:t>
      </w:r>
      <w:r w:rsidDel="00000000" w:rsidR="00000000" w:rsidRPr="00000000">
        <w:rPr>
          <w:rFonts w:ascii="Times New Roman" w:cs="Times New Roman" w:eastAsia="Times New Roman" w:hAnsi="Times New Roman"/>
          <w:sz w:val="28"/>
          <w:szCs w:val="28"/>
          <w:rtl w:val="0"/>
        </w:rPr>
        <w:t xml:space="preserve"> 116 inughuit – 27 familias – que abandonaran la recién fundada Qaanaaq, mientras que el resto se reubicó en asentamientos en otras partes del distrito. Camp Century se</w:t>
      </w:r>
      <w:r w:rsidDel="00000000" w:rsidR="00000000" w:rsidRPr="00000000">
        <w:rPr>
          <w:rFonts w:ascii="Times New Roman" w:cs="Times New Roman" w:eastAsia="Times New Roman" w:hAnsi="Times New Roman"/>
          <w:sz w:val="28"/>
          <w:szCs w:val="28"/>
          <w:rtl w:val="0"/>
        </w:rPr>
        <w:t xml:space="preserve"> </w:t>
      </w:r>
      <w:hyperlink r:id="rId16">
        <w:r w:rsidDel="00000000" w:rsidR="00000000" w:rsidRPr="00000000">
          <w:rPr>
            <w:rFonts w:ascii="Times New Roman" w:cs="Times New Roman" w:eastAsia="Times New Roman" w:hAnsi="Times New Roman"/>
            <w:color w:val="1155cc"/>
            <w:sz w:val="28"/>
            <w:szCs w:val="28"/>
            <w:u w:val="single"/>
            <w:rtl w:val="0"/>
          </w:rPr>
          <w:t xml:space="preserve">construyó</w:t>
        </w:r>
      </w:hyperlink>
      <w:r w:rsidDel="00000000" w:rsidR="00000000" w:rsidRPr="00000000">
        <w:rPr>
          <w:rFonts w:ascii="Times New Roman" w:cs="Times New Roman" w:eastAsia="Times New Roman" w:hAnsi="Times New Roman"/>
          <w:sz w:val="28"/>
          <w:szCs w:val="28"/>
          <w:rtl w:val="0"/>
        </w:rPr>
        <w:t xml:space="preserve"> bajo el hielo entre 1959 y 1960 y estaba vinculado a la propuesta secreta del Proyecto Iceworm, que contemplaba una extensa red de bases de lanzamiento de misiles nucleares.</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1968, un B-52 estadounidense que transportaba cuatro bombas de hidrógeno</w:t>
      </w:r>
      <w:r w:rsidDel="00000000" w:rsidR="00000000" w:rsidRPr="00000000">
        <w:rPr>
          <w:rFonts w:ascii="Times New Roman" w:cs="Times New Roman" w:eastAsia="Times New Roman" w:hAnsi="Times New Roman"/>
          <w:sz w:val="28"/>
          <w:szCs w:val="28"/>
          <w:rtl w:val="0"/>
        </w:rPr>
        <w:t xml:space="preserve"> </w:t>
      </w:r>
      <w:hyperlink r:id="rId17">
        <w:r w:rsidDel="00000000" w:rsidR="00000000" w:rsidRPr="00000000">
          <w:rPr>
            <w:rFonts w:ascii="Times New Roman" w:cs="Times New Roman" w:eastAsia="Times New Roman" w:hAnsi="Times New Roman"/>
            <w:color w:val="1155cc"/>
            <w:sz w:val="28"/>
            <w:szCs w:val="28"/>
            <w:u w:val="single"/>
            <w:rtl w:val="0"/>
          </w:rPr>
          <w:t xml:space="preserve">se estrelló</w:t>
        </w:r>
      </w:hyperlink>
      <w:r w:rsidDel="00000000" w:rsidR="00000000" w:rsidRPr="00000000">
        <w:rPr>
          <w:rFonts w:ascii="Times New Roman" w:cs="Times New Roman" w:eastAsia="Times New Roman" w:hAnsi="Times New Roman"/>
          <w:sz w:val="28"/>
          <w:szCs w:val="28"/>
          <w:rtl w:val="0"/>
        </w:rPr>
        <w:t xml:space="preserve"> sobre el hielo marino en la Base Aérea de Thule, lo que provocó contaminación por plutonio y otras sustancias. El accidente puso de manifiesto la inconsistencia entre la política declarada públicamente por Dinamarca en contra de las armas nucleares en territorio danés en tiempos de paz y los permisos secretos otorgados por el Gobierno danés a los Estados Unidos para almacenar armas nucleares en Groenlandia. Las instalaciones abandonadas dejaron combustible, desechos y otros contaminantes. Los </w:t>
      </w:r>
      <w:hyperlink r:id="rId18">
        <w:r w:rsidDel="00000000" w:rsidR="00000000" w:rsidRPr="00000000">
          <w:rPr>
            <w:rFonts w:ascii="Times New Roman" w:cs="Times New Roman" w:eastAsia="Times New Roman" w:hAnsi="Times New Roman"/>
            <w:color w:val="1155cc"/>
            <w:sz w:val="28"/>
            <w:szCs w:val="28"/>
            <w:u w:val="single"/>
            <w:rtl w:val="0"/>
          </w:rPr>
          <w:t xml:space="preserve">reportajes</w:t>
        </w:r>
      </w:hyperlink>
      <w:r w:rsidDel="00000000" w:rsidR="00000000" w:rsidRPr="00000000">
        <w:rPr>
          <w:rFonts w:ascii="Times New Roman" w:cs="Times New Roman" w:eastAsia="Times New Roman" w:hAnsi="Times New Roman"/>
          <w:sz w:val="28"/>
          <w:szCs w:val="28"/>
          <w:rtl w:val="0"/>
        </w:rPr>
        <w:t xml:space="preserve"> de</w:t>
      </w:r>
      <w:r w:rsidDel="00000000" w:rsidR="00000000" w:rsidRPr="00000000">
        <w:rPr>
          <w:rFonts w:ascii="Times New Roman" w:cs="Times New Roman" w:eastAsia="Times New Roman" w:hAnsi="Times New Roman"/>
          <w:sz w:val="28"/>
          <w:szCs w:val="28"/>
          <w:rtl w:val="0"/>
        </w:rPr>
        <w:t xml:space="preserve"> Groenlandia continúan cuestionando quién pagará por las futuras limpiezas. La relación militar protegió los intereses estratégicos de los Estados Unidos, mientras que los costos humanos y ambientales recayeron de manera desproporcionada sobre los groenlandeses.</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Groenlandia dejó de ser formalmente una colonia en 1953, obtuvo autonomía en 1979 y amplió su autogobierno en 2009. La Ley de Autogobierno</w:t>
      </w:r>
      <w:r w:rsidDel="00000000" w:rsidR="00000000" w:rsidRPr="00000000">
        <w:rPr>
          <w:rFonts w:ascii="Times New Roman" w:cs="Times New Roman" w:eastAsia="Times New Roman" w:hAnsi="Times New Roman"/>
          <w:sz w:val="28"/>
          <w:szCs w:val="28"/>
          <w:rtl w:val="0"/>
        </w:rPr>
        <w:t xml:space="preserve"> </w:t>
      </w:r>
      <w:hyperlink r:id="rId19">
        <w:r w:rsidDel="00000000" w:rsidR="00000000" w:rsidRPr="00000000">
          <w:rPr>
            <w:rFonts w:ascii="Times New Roman" w:cs="Times New Roman" w:eastAsia="Times New Roman" w:hAnsi="Times New Roman"/>
            <w:color w:val="1155cc"/>
            <w:sz w:val="28"/>
            <w:szCs w:val="28"/>
            <w:u w:val="single"/>
            <w:rtl w:val="0"/>
          </w:rPr>
          <w:t xml:space="preserve">reconoce</w:t>
        </w:r>
      </w:hyperlink>
      <w:r w:rsidDel="00000000" w:rsidR="00000000" w:rsidRPr="00000000">
        <w:rPr>
          <w:rFonts w:ascii="Times New Roman" w:cs="Times New Roman" w:eastAsia="Times New Roman" w:hAnsi="Times New Roman"/>
          <w:sz w:val="28"/>
          <w:szCs w:val="28"/>
          <w:rtl w:val="0"/>
        </w:rPr>
        <w:t xml:space="preserve"> a</w:t>
      </w:r>
      <w:r w:rsidDel="00000000" w:rsidR="00000000" w:rsidRPr="00000000">
        <w:rPr>
          <w:rFonts w:ascii="Times New Roman" w:cs="Times New Roman" w:eastAsia="Times New Roman" w:hAnsi="Times New Roman"/>
          <w:sz w:val="28"/>
          <w:szCs w:val="28"/>
          <w:rtl w:val="0"/>
        </w:rPr>
        <w:t xml:space="preserve"> los groenlandeses como un pueblo con derecho a la autodeterminación y establece un camino hacia la independencia. Washington reabrió su consulado en Nuuk en 2020, y la cooperación se intensificó en materia de comercio, educación, minería e investigación. Los gobiernos de Groenlandia (desde Kuupik Kleist hasta Jens-Frederik Nielsen) han acogido con beneplácito los vínculos económicos con Washington, pero rechazan la tendencia de este último a exigir cada vez más a la isla para satisfacer sus necesidades militares.</w:t>
      </w:r>
    </w:p>
    <w:p w:rsidR="00000000" w:rsidDel="00000000" w:rsidP="00000000" w:rsidRDefault="00000000" w:rsidRPr="00000000" w14:paraId="00000012">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De Monroe a Donroe</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exigencia de Trump respecto a Groenlandia forma parte de una política hemisférica más amplia. La Doctrina Monroe de 1823 advertía a las potencias europeas contra nuevas intervenciones coloniales en las Américas. Presentada como anticolonial, se transformó en una reivindicación de la supremacía estadounidense. El </w:t>
      </w:r>
      <w:hyperlink r:id="rId20">
        <w:r w:rsidDel="00000000" w:rsidR="00000000" w:rsidRPr="00000000">
          <w:rPr>
            <w:rFonts w:ascii="Times New Roman" w:cs="Times New Roman" w:eastAsia="Times New Roman" w:hAnsi="Times New Roman"/>
            <w:color w:val="1155cc"/>
            <w:sz w:val="28"/>
            <w:szCs w:val="28"/>
            <w:u w:val="single"/>
            <w:rtl w:val="0"/>
          </w:rPr>
          <w:t xml:space="preserve">corolario</w:t>
        </w:r>
      </w:hyperlink>
      <w:r w:rsidDel="00000000" w:rsidR="00000000" w:rsidRPr="00000000">
        <w:rPr>
          <w:rFonts w:ascii="Times New Roman" w:cs="Times New Roman" w:eastAsia="Times New Roman" w:hAnsi="Times New Roman"/>
          <w:sz w:val="28"/>
          <w:szCs w:val="28"/>
          <w:rtl w:val="0"/>
        </w:rPr>
        <w:t xml:space="preserve"> de Theodore Roosevelt de 1904 afirmaba el derecho de intervención en América Latina, proporcionando una justificación ideológica para ocupaciones, cambios de régimen y el control de activos estratégicos.</w:t>
      </w:r>
    </w:p>
    <w:p w:rsidR="00000000" w:rsidDel="00000000" w:rsidP="00000000" w:rsidRDefault="00000000" w:rsidRPr="00000000" w14:paraId="0000001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Los partidarios de Trump rebautizaron su última versión como la “Doctrina Donroe”. Esta denominación vincula la presión sobre Groenlandia con las exigencias relativas al Canal de Panamá, las amenazas contra Cuba y Colombia, las reivindicaciones sobre Canadá y la intervención de los Estados Unidos en Venezuela. A finales de 2025, la Casa Blanca proclamó formalmente un</w:t>
      </w:r>
      <w:r w:rsidDel="00000000" w:rsidR="00000000" w:rsidRPr="00000000">
        <w:rPr>
          <w:rFonts w:ascii="Times New Roman" w:cs="Times New Roman" w:eastAsia="Times New Roman" w:hAnsi="Times New Roman"/>
          <w:sz w:val="28"/>
          <w:szCs w:val="28"/>
          <w:rtl w:val="0"/>
        </w:rPr>
        <w:t xml:space="preserve"> </w:t>
      </w:r>
      <w:hyperlink r:id="rId21">
        <w:r w:rsidDel="00000000" w:rsidR="00000000" w:rsidRPr="00000000">
          <w:rPr>
            <w:rFonts w:ascii="Times New Roman" w:cs="Times New Roman" w:eastAsia="Times New Roman" w:hAnsi="Times New Roman"/>
            <w:color w:val="1155cc"/>
            <w:sz w:val="28"/>
            <w:szCs w:val="28"/>
            <w:u w:val="single"/>
            <w:rtl w:val="0"/>
          </w:rPr>
          <w:t xml:space="preserve">Corolario  Trump</w:t>
        </w:r>
      </w:hyperlink>
      <w:r w:rsidDel="00000000" w:rsidR="00000000" w:rsidRPr="00000000">
        <w:rPr>
          <w:rFonts w:ascii="Times New Roman" w:cs="Times New Roman" w:eastAsia="Times New Roman" w:hAnsi="Times New Roman"/>
          <w:sz w:val="28"/>
          <w:szCs w:val="28"/>
          <w:rtl w:val="0"/>
        </w:rPr>
        <w:t xml:space="preserve"> a la Doctrina de Monroe, en el que se afirmaba el liderazgo de los Estados Unidos en todo “nuestro hemisferio”. Groenlandia queda arrastrada a esta esfera porque geográficamente forma parte de América del Norte, aunque esté vinculada políticamente a Dinamarca y su pueblo inuit posea su propio derecho a la autodeterminación. Esta doctrina contiene una contradicción reveladora. Trump denuncia el control europeo sobre Groenlandia como un anacronismo, al tiempo que exige que la isla sea transferida a los Estados Unidos. El colonialismo no se ha abolido; simplemente cambia el colonizador propuesto. Las referencias de Trump a los minerales, las rutas marítimas y la geografía militar reducen a Groenlandia a un activo y a sus 56.000 habitantes a un obstáculo en una transacción entre potencias.</w:t>
      </w:r>
    </w:p>
    <w:p w:rsidR="00000000" w:rsidDel="00000000" w:rsidP="00000000" w:rsidRDefault="00000000" w:rsidRPr="00000000" w14:paraId="00000015">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Una crisis dentro de la alianza occidental</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Las amenazas de Trump provocaron una ruptura extraordinaria entre los Estados Unidos y Europa. Dinamarca no es un adversario, sino un aliado de la OTAN cuyas tropas lucharon junto a los soldados estadounidenses en Afganistán. La amenaza de arrebatar territorio a un aliado por la fuerza ataca la premisa misma de la alianza. La primera ministra danesa, Mette Frederiksen</w:t>
      </w:r>
      <w:r w:rsidDel="00000000" w:rsidR="00000000" w:rsidRPr="00000000">
        <w:rPr>
          <w:rFonts w:ascii="Times New Roman" w:cs="Times New Roman" w:eastAsia="Times New Roman" w:hAnsi="Times New Roman"/>
          <w:sz w:val="28"/>
          <w:szCs w:val="28"/>
          <w:rtl w:val="0"/>
        </w:rPr>
        <w:t xml:space="preserve"> </w:t>
      </w:r>
      <w:hyperlink r:id="rId22">
        <w:r w:rsidDel="00000000" w:rsidR="00000000" w:rsidRPr="00000000">
          <w:rPr>
            <w:rFonts w:ascii="Times New Roman" w:cs="Times New Roman" w:eastAsia="Times New Roman" w:hAnsi="Times New Roman"/>
            <w:color w:val="1155cc"/>
            <w:sz w:val="28"/>
            <w:szCs w:val="28"/>
            <w:u w:val="single"/>
            <w:rtl w:val="0"/>
          </w:rPr>
          <w:t xml:space="preserve">advirtió</w:t>
        </w:r>
      </w:hyperlink>
      <w:r w:rsidDel="00000000" w:rsidR="00000000" w:rsidRPr="00000000">
        <w:rPr>
          <w:rFonts w:ascii="Times New Roman" w:cs="Times New Roman" w:eastAsia="Times New Roman" w:hAnsi="Times New Roman"/>
          <w:sz w:val="28"/>
          <w:szCs w:val="28"/>
          <w:rtl w:val="0"/>
        </w:rPr>
        <w:t xml:space="preserve"> que un ataque de los Estados Unidos contra otro país de la OTAN pondría fin al orden de seguridad de la posguerra. Los gobiernos europeos</w:t>
      </w:r>
      <w:r w:rsidDel="00000000" w:rsidR="00000000" w:rsidRPr="00000000">
        <w:rPr>
          <w:rFonts w:ascii="Times New Roman" w:cs="Times New Roman" w:eastAsia="Times New Roman" w:hAnsi="Times New Roman"/>
          <w:sz w:val="28"/>
          <w:szCs w:val="28"/>
          <w:rtl w:val="0"/>
        </w:rPr>
        <w:t xml:space="preserve"> </w:t>
      </w:r>
      <w:hyperlink r:id="rId23">
        <w:r w:rsidDel="00000000" w:rsidR="00000000" w:rsidRPr="00000000">
          <w:rPr>
            <w:rFonts w:ascii="Times New Roman" w:cs="Times New Roman" w:eastAsia="Times New Roman" w:hAnsi="Times New Roman"/>
            <w:color w:val="1155cc"/>
            <w:sz w:val="28"/>
            <w:szCs w:val="28"/>
            <w:u w:val="single"/>
            <w:rtl w:val="0"/>
          </w:rPr>
          <w:t xml:space="preserve">se unieron</w:t>
        </w:r>
      </w:hyperlink>
      <w:r w:rsidDel="00000000" w:rsidR="00000000" w:rsidRPr="00000000">
        <w:rPr>
          <w:rFonts w:ascii="Times New Roman" w:cs="Times New Roman" w:eastAsia="Times New Roman" w:hAnsi="Times New Roman"/>
          <w:sz w:val="28"/>
          <w:szCs w:val="28"/>
          <w:rtl w:val="0"/>
        </w:rPr>
        <w:t xml:space="preserve"> en torno al principio de que las fronteras no pueden modificarse mediante la coacción, un principio que invocan contra Rusia en Ucrania.</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crisis puso de manifiesto la dependencia de Europa. La OTAN no cuenta con un procedimiento claro para defender a un miembro frente a su miembro más poderoso. Los Estados europeos dependen en gran medida del poderío militar de los Estados Unidos, al tiempo que se les pide que resistan la coacción estadounidense. Copenhague respondió con una diplomacia cautelosa, un mayor gasto militar en el Ártico y la insistencia en que las decisiones corresponden a Groenlandia y a Dinamarca. Francia, Alemania, los países nórdicos y la Unión Europea expresaron su solidaridad, pero el episodio intensificó los llamado a la autonomía estratégica europea. También dañó la pretensión de Washington de liderar una alianza de democracias contra el revisionismo autoritario.</w:t>
      </w:r>
    </w:p>
    <w:p w:rsidR="00000000" w:rsidDel="00000000" w:rsidP="00000000" w:rsidRDefault="00000000" w:rsidRPr="00000000" w14:paraId="0000001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18 de septiembre de 2026, Trump</w:t>
      </w:r>
      <w:r w:rsidDel="00000000" w:rsidR="00000000" w:rsidRPr="00000000">
        <w:rPr>
          <w:rFonts w:ascii="Times New Roman" w:cs="Times New Roman" w:eastAsia="Times New Roman" w:hAnsi="Times New Roman"/>
          <w:sz w:val="28"/>
          <w:szCs w:val="28"/>
          <w:rtl w:val="0"/>
        </w:rPr>
        <w:t xml:space="preserve"> </w:t>
      </w:r>
      <w:hyperlink r:id="rId24">
        <w:r w:rsidDel="00000000" w:rsidR="00000000" w:rsidRPr="00000000">
          <w:rPr>
            <w:rFonts w:ascii="Times New Roman" w:cs="Times New Roman" w:eastAsia="Times New Roman" w:hAnsi="Times New Roman"/>
            <w:color w:val="1155cc"/>
            <w:sz w:val="28"/>
            <w:szCs w:val="28"/>
            <w:u w:val="single"/>
            <w:rtl w:val="0"/>
          </w:rPr>
          <w:t xml:space="preserve">anunció</w:t>
        </w:r>
      </w:hyperlink>
      <w:r w:rsidDel="00000000" w:rsidR="00000000" w:rsidRPr="00000000">
        <w:rPr>
          <w:rFonts w:ascii="Times New Roman" w:cs="Times New Roman" w:eastAsia="Times New Roman" w:hAnsi="Times New Roman"/>
          <w:sz w:val="28"/>
          <w:szCs w:val="28"/>
          <w:rtl w:val="0"/>
        </w:rPr>
        <w:t xml:space="preserve"> un nuevo acuerdo trilateral de seguridad tras meses de negociaciones, reivindicando el “control permanente” sobre la seguridad de Groenlandia. Los líderes daneses y groenlandeses lo describieron en términos más limitados: una ampliación de la cooperación militar con los Estados Unidos que preserva la soberanía y la autodeterminación de Groenlandia. El texto completo aún debe firmarse y aprobarse. Si su versión es correcta, el resultado confirma lo que era evidente desde el principio: los Estados Unidos podría obtener acuerdos de seguridad adicionales sin llegar a ser dueño de Groenlandia. Sin embargo, la presión que precedió al acuerdo sigue siendo una advertencia sobre las negociaciones llevadas a cabo bajo amenazas.</w:t>
      </w:r>
    </w:p>
    <w:p w:rsidR="00000000" w:rsidDel="00000000" w:rsidP="00000000" w:rsidRDefault="00000000" w:rsidRPr="00000000" w14:paraId="00000019">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Groenlandia habla por sí misma</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respuesta de Groenlandia ha combinado rechazo, unidad y complejidad política. Kalaallit Nunaat – el nombre groenlandés del país – se convirtió en el centro de las declaraciones de que Groenlandia pertenece a su pueblo y no está en venta. En marzo de 2025, grandes manifestaciones en Nuuk, Sisimiut y Qaanaaq</w:t>
      </w:r>
      <w:r w:rsidDel="00000000" w:rsidR="00000000" w:rsidRPr="00000000">
        <w:rPr>
          <w:rFonts w:ascii="Times New Roman" w:cs="Times New Roman" w:eastAsia="Times New Roman" w:hAnsi="Times New Roman"/>
          <w:sz w:val="28"/>
          <w:szCs w:val="28"/>
          <w:rtl w:val="0"/>
        </w:rPr>
        <w:t xml:space="preserve"> </w:t>
      </w:r>
      <w:hyperlink r:id="rId25">
        <w:r w:rsidDel="00000000" w:rsidR="00000000" w:rsidRPr="00000000">
          <w:rPr>
            <w:rFonts w:ascii="Times New Roman" w:cs="Times New Roman" w:eastAsia="Times New Roman" w:hAnsi="Times New Roman"/>
            <w:color w:val="1155cc"/>
            <w:sz w:val="28"/>
            <w:szCs w:val="28"/>
            <w:u w:val="single"/>
            <w:rtl w:val="0"/>
          </w:rPr>
          <w:t xml:space="preserve">marcharon</w:t>
        </w:r>
      </w:hyperlink>
      <w:r w:rsidDel="00000000" w:rsidR="00000000" w:rsidRPr="00000000">
        <w:rPr>
          <w:rFonts w:ascii="Times New Roman" w:cs="Times New Roman" w:eastAsia="Times New Roman" w:hAnsi="Times New Roman"/>
          <w:sz w:val="28"/>
          <w:szCs w:val="28"/>
          <w:rtl w:val="0"/>
        </w:rPr>
        <w:t xml:space="preserve"> bajo la bandera roja y blanca de Erfalasorput. Los manifestantes le pidieron a Trump que respetara a los inuit, a su país y a su nacionalidad. Los partidos políticos de Groenlandia, a pesar de profundos desacuerdos sobre el ritmo y las condiciones económicas de la independencia,</w:t>
      </w:r>
      <w:r w:rsidDel="00000000" w:rsidR="00000000" w:rsidRPr="00000000">
        <w:rPr>
          <w:rFonts w:ascii="Times New Roman" w:cs="Times New Roman" w:eastAsia="Times New Roman" w:hAnsi="Times New Roman"/>
          <w:sz w:val="28"/>
          <w:szCs w:val="28"/>
          <w:rtl w:val="0"/>
        </w:rPr>
        <w:t xml:space="preserve"> </w:t>
      </w:r>
      <w:hyperlink r:id="rId26">
        <w:r w:rsidDel="00000000" w:rsidR="00000000" w:rsidRPr="00000000">
          <w:rPr>
            <w:rFonts w:ascii="Times New Roman" w:cs="Times New Roman" w:eastAsia="Times New Roman" w:hAnsi="Times New Roman"/>
            <w:color w:val="1155cc"/>
            <w:sz w:val="28"/>
            <w:szCs w:val="28"/>
            <w:u w:val="single"/>
            <w:rtl w:val="0"/>
          </w:rPr>
          <w:t xml:space="preserve">condenaron</w:t>
        </w:r>
      </w:hyperlink>
      <w:r w:rsidDel="00000000" w:rsidR="00000000" w:rsidRPr="00000000">
        <w:rPr>
          <w:rFonts w:ascii="Times New Roman" w:cs="Times New Roman" w:eastAsia="Times New Roman" w:hAnsi="Times New Roman"/>
          <w:sz w:val="28"/>
          <w:szCs w:val="28"/>
          <w:rtl w:val="0"/>
        </w:rPr>
        <w:t xml:space="preserve"> conjuntamente la presión externa. El Parlamento</w:t>
      </w:r>
      <w:r w:rsidDel="00000000" w:rsidR="00000000" w:rsidRPr="00000000">
        <w:rPr>
          <w:rFonts w:ascii="Times New Roman" w:cs="Times New Roman" w:eastAsia="Times New Roman" w:hAnsi="Times New Roman"/>
          <w:sz w:val="28"/>
          <w:szCs w:val="28"/>
          <w:rtl w:val="0"/>
        </w:rPr>
        <w:t xml:space="preserve"> </w:t>
      </w:r>
      <w:hyperlink r:id="rId27">
        <w:r w:rsidDel="00000000" w:rsidR="00000000" w:rsidRPr="00000000">
          <w:rPr>
            <w:rFonts w:ascii="Times New Roman" w:cs="Times New Roman" w:eastAsia="Times New Roman" w:hAnsi="Times New Roman"/>
            <w:color w:val="1155cc"/>
            <w:sz w:val="28"/>
            <w:szCs w:val="28"/>
            <w:u w:val="single"/>
            <w:rtl w:val="0"/>
          </w:rPr>
          <w:t xml:space="preserve">prohibió</w:t>
        </w:r>
      </w:hyperlink>
      <w:r w:rsidDel="00000000" w:rsidR="00000000" w:rsidRPr="00000000">
        <w:rPr>
          <w:rFonts w:ascii="Times New Roman" w:cs="Times New Roman" w:eastAsia="Times New Roman" w:hAnsi="Times New Roman"/>
          <w:sz w:val="28"/>
          <w:szCs w:val="28"/>
          <w:rtl w:val="0"/>
        </w:rPr>
        <w:t xml:space="preserve"> las</w:t>
      </w:r>
      <w:r w:rsidDel="00000000" w:rsidR="00000000" w:rsidRPr="00000000">
        <w:rPr>
          <w:rFonts w:ascii="Times New Roman" w:cs="Times New Roman" w:eastAsia="Times New Roman" w:hAnsi="Times New Roman"/>
          <w:sz w:val="28"/>
          <w:szCs w:val="28"/>
          <w:rtl w:val="0"/>
        </w:rPr>
        <w:t xml:space="preserve"> donaciones políticas extranjeras y anónimas, defendiendo explícitamente la integridad de la democracia groenlandesa en medio del interés de las grandes potencias.</w:t>
      </w:r>
    </w:p>
    <w:p w:rsidR="00000000" w:rsidDel="00000000" w:rsidP="00000000" w:rsidRDefault="00000000" w:rsidRPr="00000000" w14:paraId="0000001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colonialismo danés dejó profundas heridas: asimilación forzada, ingeniería social, desarrollo desigual y decisiones tomadas en Copenhague sobre la tierra y el pueblo groenlandeses (toda la cuarta temporada de la popular serie de televisión </w:t>
      </w:r>
      <w:r w:rsidDel="00000000" w:rsidR="00000000" w:rsidRPr="00000000">
        <w:rPr>
          <w:rFonts w:ascii="Times New Roman" w:cs="Times New Roman" w:eastAsia="Times New Roman" w:hAnsi="Times New Roman"/>
          <w:i w:val="1"/>
          <w:iCs w:val="1"/>
          <w:sz w:val="28"/>
          <w:szCs w:val="28"/>
          <w:rtl w:val="0"/>
        </w:rPr>
        <w:t xml:space="preserve">Borgen</w:t>
      </w:r>
      <w:r w:rsidDel="00000000" w:rsidR="00000000" w:rsidRPr="00000000">
        <w:rPr>
          <w:rFonts w:ascii="Times New Roman" w:cs="Times New Roman" w:eastAsia="Times New Roman" w:hAnsi="Times New Roman"/>
          <w:sz w:val="28"/>
          <w:szCs w:val="28"/>
          <w:rtl w:val="0"/>
        </w:rPr>
        <w:t xml:space="preserve">, en 2022, se centró en un conflicto entre Copenhague y Nuuk por el descubrimiento de un nuevo yacimiento de petróleo con implicaciones de China y Rusia). Muchos groenlandeses desean la independencia, y algunos ven el creciente interés de los Estados Unidos como una ventaja para atraer inversiones y lograr una relación más equitativa con Dinamarca.</w:t>
      </w:r>
    </w:p>
    <w:p w:rsidR="00000000" w:rsidDel="00000000" w:rsidP="00000000" w:rsidRDefault="00000000" w:rsidRPr="00000000" w14:paraId="0000001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Groenlandia revela el verdadero contenido de la Doctrina Donroe: una afirmación del siglo XXI de que la geografía otorga a Washington derechos superiores sobre los pueblos vecinos. La respuesta de Groenlandia es igualmente moderna y universal. La ubicación estratégica no anula la soberanía popular, los minerales no borran la identidad nacional, y ninguna gran potencia adquiere un país simplemente por declarar que lo necesita.</w:t>
      </w:r>
    </w:p>
    <w:p w:rsidR="00000000" w:rsidDel="00000000" w:rsidP="00000000" w:rsidRDefault="00000000" w:rsidRPr="00000000" w14:paraId="0000001D">
      <w:pPr>
        <w:spacing w:after="200"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archives.gov/milestone-documents/roosevelt-corollary" TargetMode="External"/><Relationship Id="rId22" Type="http://schemas.openxmlformats.org/officeDocument/2006/relationships/hyperlink" Target="https://stm.dk/presse/pressemeddelelser/2026/udtalelse-fra-statsminister-mette-frederiksen/" TargetMode="External"/><Relationship Id="rId21" Type="http://schemas.openxmlformats.org/officeDocument/2006/relationships/hyperlink" Target="https://www.whitehouse.gov/wp-content/uploads/2025/12/2025-National-Security-Strategy.pdf" TargetMode="External"/><Relationship Id="rId24" Type="http://schemas.openxmlformats.org/officeDocument/2006/relationships/hyperlink" Target="https://apnews.com/article/trump-greenland-military-denmark-4cf77cb4608b685a70410bd679479193" TargetMode="External"/><Relationship Id="rId23" Type="http://schemas.openxmlformats.org/officeDocument/2006/relationships/hyperlink" Target="https://www.elysee.fr/en/emmanuel-macron/2026/01/06/joint-statement-on-greenlan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news.com/article/trump-biden-offshore-drilling-gulf-of-america-fa66f8d072eb39c00a8128a8941ede75" TargetMode="External"/><Relationship Id="rId26" Type="http://schemas.openxmlformats.org/officeDocument/2006/relationships/hyperlink" Target="https://naalakkersuisut.gl/Nyheder/2025/03/1403_udtalelse" TargetMode="External"/><Relationship Id="rId25" Type="http://schemas.openxmlformats.org/officeDocument/2006/relationships/hyperlink" Target="https://www.sermitsiaq.ag/samfund/se-video-og-fotos-gronland-demonstrerer-mod-trump/2209203" TargetMode="External"/><Relationship Id="rId27" Type="http://schemas.openxmlformats.org/officeDocument/2006/relationships/hyperlink" Target="https://knr.gl/da/nyheder/nu-er-det-forbudt-modtage-anonyme-og-udenlandske-valgbidrag"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thetricontinental.org/es/" TargetMode="External"/><Relationship Id="rId8" Type="http://schemas.openxmlformats.org/officeDocument/2006/relationships/hyperlink" Target="https://leftword.com/" TargetMode="External"/><Relationship Id="rId11" Type="http://schemas.openxmlformats.org/officeDocument/2006/relationships/hyperlink" Target="https://www.govinfo.gov/content/pkg/STATUTE-55/pdf/STATUTE-55-Pg1245.pdf" TargetMode="External"/><Relationship Id="rId10" Type="http://schemas.openxmlformats.org/officeDocument/2006/relationships/hyperlink" Target="https://www.veriangroup.com/da/news-and-insights/opinionsmaling-groenland-2025" TargetMode="External"/><Relationship Id="rId13" Type="http://schemas.openxmlformats.org/officeDocument/2006/relationships/hyperlink" Target="https://www.state.gov/wp-content/uploads/2019/02/04-806-Denmark-Defense.done_.pdf" TargetMode="External"/><Relationship Id="rId12" Type="http://schemas.openxmlformats.org/officeDocument/2006/relationships/hyperlink" Target="https://history.state.gov/historicaldocuments/frus1945v04/d574" TargetMode="External"/><Relationship Id="rId15" Type="http://schemas.openxmlformats.org/officeDocument/2006/relationships/hyperlink" Target="https://trap.gl/en/kommunerne-og-byerne/avannaata-kommunia/qaanaaq/" TargetMode="External"/><Relationship Id="rId14" Type="http://schemas.openxmlformats.org/officeDocument/2006/relationships/hyperlink" Target="https://www.state.gov/wp-content/uploads/2019/02/04-806-Denmark-Defense.done_.pdf" TargetMode="External"/><Relationship Id="rId17" Type="http://schemas.openxmlformats.org/officeDocument/2006/relationships/hyperlink" Target="https://lex.dk/thulesagen_-_sag_om_kernev%25C3%25A5ben_i_Gr%25C3%25B8nland" TargetMode="External"/><Relationship Id="rId16" Type="http://schemas.openxmlformats.org/officeDocument/2006/relationships/hyperlink" Target="https://lex.dk/Camp_Century" TargetMode="External"/><Relationship Id="rId19" Type="http://schemas.openxmlformats.org/officeDocument/2006/relationships/hyperlink" Target="https://www.retsinformation.dk/eli/lta/2009/473" TargetMode="External"/><Relationship Id="rId18" Type="http://schemas.openxmlformats.org/officeDocument/2006/relationships/hyperlink" Target="https://knr.gl/da/nyheder/oprydning-efter-amerikansk-militaer-i-groenland-forsinket-med-over-ti-a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