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20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Vivienda popular y gentrificación: el caso venezolano tras los terremotos del 24 de junio</w:t>
      </w:r>
    </w:p>
    <w:p w:rsidR="00000000" w:rsidDel="00000000" w:rsidP="00000000" w:rsidRDefault="00000000" w:rsidRPr="00000000" w14:paraId="00000002">
      <w:pPr>
        <w:keepNext w:val="0"/>
        <w:keepLines w:val="0"/>
        <w:spacing w:after="20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Resumen: </w:t>
      </w:r>
      <w:r w:rsidDel="00000000" w:rsidR="00000000" w:rsidRPr="00000000">
        <w:rPr>
          <w:rFonts w:ascii="Times New Roman" w:cs="Times New Roman" w:eastAsia="Times New Roman" w:hAnsi="Times New Roman"/>
          <w:sz w:val="28"/>
          <w:szCs w:val="28"/>
          <w:rtl w:val="0"/>
        </w:rPr>
        <w:t xml:space="preserve">América Latina atraviesa, desde hace más de una década, un proceso de gentrificación que se ha convertido en objeto de debate público y académico: barrios populares que se revalorizan al calor del turismo, la migración de rentistas digitales y la inversión inmobiliaria, expulsando a las familias que históricamente los habitaron. Ciudad de México, Medellín, Buenos Aires o el Centro Histórico de San Salvador son apenas algunos escenarios donde este patrón se repite con matices. Frente a esta tendencia, los gobiernos suelen responder con medidas regulatorias que rara vez alteran la lógica de fondo del mercado. A este patrón regional, Venezuela ofrece un caso que vale la pena examinar como experimento político con sus propias tensiones internas. La Gran Misión Vivienda Venezuela (GMVV) ha construido más de cinco millones de soluciones habitacionales bajo la premisa de que el acceso al hábitat es un derecho constitucional. Ese modelo está siendo puesto a prueba de manera abrupta por los sismos gemelos del 24 de junio de 2026, que dejó miles de personas sin techo en las ciudades del centro-norte costero, la región más poblada del país. </w:t>
      </w:r>
    </w:p>
    <w:p w:rsidR="00000000" w:rsidDel="00000000" w:rsidP="00000000" w:rsidRDefault="00000000" w:rsidRPr="00000000" w14:paraId="00000003">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Carmen Navas Reyes </w:t>
      </w:r>
    </w:p>
    <w:p w:rsidR="00000000" w:rsidDel="00000000" w:rsidP="00000000" w:rsidRDefault="00000000" w:rsidRPr="00000000" w14:paraId="00000004">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467886"/>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Carmen Navas Reyes es una politóloga venezolana, con maestría en Ecología para el Desarrollo Humano (UNESR). Actualmente cursa un doctorado en Estudios de Nuestra América en la</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467886"/>
            <w:sz w:val="28"/>
            <w:szCs w:val="28"/>
            <w:u w:val="single"/>
            <w:rtl w:val="0"/>
          </w:rPr>
          <w:t xml:space="preserve">Fundación Centro de Estudios Latinoamericanos Rómulo Gallegos</w:t>
        </w:r>
      </w:hyperlink>
      <w:r w:rsidDel="00000000" w:rsidR="00000000" w:rsidRPr="00000000">
        <w:rPr>
          <w:rFonts w:ascii="Times New Roman" w:cs="Times New Roman" w:eastAsia="Times New Roman" w:hAnsi="Times New Roman"/>
          <w:sz w:val="28"/>
          <w:szCs w:val="28"/>
          <w:rtl w:val="0"/>
        </w:rPr>
        <w:t xml:space="preserve"> (CELARG) en Venezuela. Investigadora del</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467886"/>
            <w:sz w:val="28"/>
            <w:szCs w:val="28"/>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Nuestra América, Sudamérica/Venezuela, Europa, Europa/Italia, Gentrificación, Noticias, Opinión, Política</w:t>
      </w:r>
    </w:p>
    <w:p w:rsidR="00000000" w:rsidDel="00000000" w:rsidP="00000000" w:rsidRDefault="00000000" w:rsidRPr="00000000" w14:paraId="00000007">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r w:rsidDel="00000000" w:rsidR="00000000" w:rsidRPr="00000000">
        <w:rPr>
          <w:rtl w:val="0"/>
        </w:rPr>
      </w:r>
    </w:p>
    <w:p w:rsidR="00000000" w:rsidDel="00000000" w:rsidP="00000000" w:rsidRDefault="00000000" w:rsidRPr="00000000" w14:paraId="00000009">
      <w:pPr>
        <w:keepNext w:val="0"/>
        <w:keepLines w:val="0"/>
        <w:spacing w:after="20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gentrificación como fenómeno regional y global</w:t>
      </w:r>
    </w:p>
    <w:p w:rsidR="00000000" w:rsidDel="00000000" w:rsidP="00000000" w:rsidRDefault="00000000" w:rsidRPr="00000000" w14:paraId="0000000A">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Antes de examinar el caso venezolano, conviene situarlo frente al patrón que domina la experiencia latinoamericana, la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gentrificación</w:t>
        </w:r>
      </w:hyperlink>
      <w:r w:rsidDel="00000000" w:rsidR="00000000" w:rsidRPr="00000000">
        <w:rPr>
          <w:rFonts w:ascii="Times New Roman" w:cs="Times New Roman" w:eastAsia="Times New Roman" w:hAnsi="Times New Roman"/>
          <w:sz w:val="28"/>
          <w:szCs w:val="28"/>
          <w:rtl w:val="0"/>
        </w:rPr>
        <w:t xml:space="preserve">: la revalorización de un barrio popular – vía turismo, inversión extranjera o renovación urbana – que desplaza a sus residentes originales hacia la periferia, incapaces de sostener los nuevos costos de vida.</w:t>
      </w:r>
    </w:p>
    <w:p w:rsidR="00000000" w:rsidDel="00000000" w:rsidP="00000000" w:rsidRDefault="00000000" w:rsidRPr="00000000" w14:paraId="0000000B">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Ciudad de México, el precio de alquiler en barrios como Condesa aumentó un 66% en dos años, impulsado por el auge de trabajadores remotos. Medellín vio crecer en un 38% la oferta de alquileres de corta duración en un año, mientras que en</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Buenos Aires</w:t>
        </w:r>
      </w:hyperlink>
      <w:r w:rsidDel="00000000" w:rsidR="00000000" w:rsidRPr="00000000">
        <w:rPr>
          <w:rFonts w:ascii="Times New Roman" w:cs="Times New Roman" w:eastAsia="Times New Roman" w:hAnsi="Times New Roman"/>
          <w:sz w:val="28"/>
          <w:szCs w:val="28"/>
          <w:rtl w:val="0"/>
        </w:rPr>
        <w:t xml:space="preserve"> se multiplicaron los precios por metro cuadrado en zonas revalorizadas. En San Salvador, la turistificación del Centro Histórico y proyectos como</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i w:val="1"/>
            <w:iCs w:val="1"/>
            <w:color w:val="1155cc"/>
            <w:sz w:val="28"/>
            <w:szCs w:val="28"/>
            <w:u w:val="single"/>
            <w:rtl w:val="0"/>
          </w:rPr>
          <w:t xml:space="preserve">Surf City</w:t>
        </w:r>
      </w:hyperlink>
      <w:r w:rsidDel="00000000" w:rsidR="00000000" w:rsidRPr="00000000">
        <w:rPr>
          <w:rFonts w:ascii="Times New Roman" w:cs="Times New Roman" w:eastAsia="Times New Roman" w:hAnsi="Times New Roman"/>
          <w:sz w:val="28"/>
          <w:szCs w:val="28"/>
          <w:rtl w:val="0"/>
        </w:rPr>
        <w:t xml:space="preserve"> han desplazado a comerciantes informales y familias históricas hacia los márgenes urbanos. Estudios en</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Costa Rica</w:t>
        </w:r>
      </w:hyperlink>
      <w:r w:rsidDel="00000000" w:rsidR="00000000" w:rsidRPr="00000000">
        <w:rPr>
          <w:rFonts w:ascii="Times New Roman" w:cs="Times New Roman" w:eastAsia="Times New Roman" w:hAnsi="Times New Roman"/>
          <w:sz w:val="28"/>
          <w:szCs w:val="28"/>
          <w:rtl w:val="0"/>
        </w:rPr>
        <w:t xml:space="preserve"> revelan brechas de renta que triplican las de otras capitales, mientras que en Brasil la elitización de centros históricos en el nordeste reconfigura la dinámica socioespacial.</w:t>
      </w:r>
    </w:p>
    <w:p w:rsidR="00000000" w:rsidDel="00000000" w:rsidP="00000000" w:rsidRDefault="00000000" w:rsidRPr="00000000" w14:paraId="0000000C">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Europa y los Estados Unidos operan dinámicas similares.</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San Francisco</w:t>
        </w:r>
      </w:hyperlink>
      <w:r w:rsidDel="00000000" w:rsidR="00000000" w:rsidRPr="00000000">
        <w:rPr>
          <w:rFonts w:ascii="Times New Roman" w:cs="Times New Roman" w:eastAsia="Times New Roman" w:hAnsi="Times New Roman"/>
          <w:sz w:val="28"/>
          <w:szCs w:val="28"/>
          <w:rtl w:val="0"/>
        </w:rPr>
        <w:t xml:space="preserve"> presenció el encarecimiento drástico del Distrito de la Misión por la presión de la industria tecnológica.</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En Europa</w:t>
        </w:r>
      </w:hyperlink>
      <w:r w:rsidDel="00000000" w:rsidR="00000000" w:rsidRPr="00000000">
        <w:rPr>
          <w:rFonts w:ascii="Times New Roman" w:cs="Times New Roman" w:eastAsia="Times New Roman" w:hAnsi="Times New Roman"/>
          <w:sz w:val="28"/>
          <w:szCs w:val="28"/>
          <w:rtl w:val="0"/>
        </w:rPr>
        <w:t xml:space="preserve">, ciudades como Barcelona, Berlín, Lisboa y Venecia enfrentan procesos de turistificación intensa que reducen la población residente y encarecen desproporcionadamente el suelo. Las respuestas regulatorias europeas – controles de precios o el modelo vienés de vivienda pública – intentan contener los efectos más agudos, pero operan sobre un mercado ya estructurado en torno a la propiedad privada y la renta especulativa. Es en este punto donde el caso venezolano se distingue: no buscaba mitigar la gentrificación mediante regulación posterior, sino intervenir de antemano sobre el suelo urbano para impedir que la lógica especulativa se instalara.</w:t>
      </w:r>
    </w:p>
    <w:p w:rsidR="00000000" w:rsidDel="00000000" w:rsidP="00000000" w:rsidRDefault="00000000" w:rsidRPr="00000000" w14:paraId="0000000D">
      <w:pPr>
        <w:keepNext w:val="0"/>
        <w:keepLines w:val="0"/>
        <w:spacing w:after="20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GMVV como</w:t>
      </w:r>
      <w:hyperlink r:id="rId24">
        <w:r w:rsidDel="00000000" w:rsidR="00000000" w:rsidRPr="00000000">
          <w:rPr>
            <w:rFonts w:ascii="Times New Roman" w:cs="Times New Roman" w:eastAsia="Times New Roman" w:hAnsi="Times New Roman"/>
            <w:b w:val="1"/>
            <w:bCs w:val="1"/>
            <w:color w:val="1155cc"/>
            <w:sz w:val="28"/>
            <w:szCs w:val="28"/>
            <w:u w:val="single"/>
            <w:rtl w:val="0"/>
          </w:rPr>
          <w:t xml:space="preserve"> decomodificación</w:t>
        </w:r>
      </w:hyperlink>
      <w:r w:rsidDel="00000000" w:rsidR="00000000" w:rsidRPr="00000000">
        <w:rPr>
          <w:rFonts w:ascii="Times New Roman" w:cs="Times New Roman" w:eastAsia="Times New Roman" w:hAnsi="Times New Roman"/>
          <w:b w:val="1"/>
          <w:bCs w:val="1"/>
          <w:sz w:val="28"/>
          <w:szCs w:val="28"/>
          <w:rtl w:val="0"/>
        </w:rPr>
        <w:t xml:space="preserve"> de la vivienda</w:t>
      </w:r>
    </w:p>
    <w:p w:rsidR="00000000" w:rsidDel="00000000" w:rsidP="00000000" w:rsidRDefault="00000000" w:rsidRPr="00000000" w14:paraId="0000000E">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el patrón dominante en la región es la expulsión popular de las zonas revalorizadas, la trayectoria habitacional venezolana desde 1999 se movió en sentido contrario. Desde 2011,</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1155cc"/>
            <w:sz w:val="28"/>
            <w:szCs w:val="28"/>
            <w:u w:val="single"/>
            <w:rtl w:val="0"/>
          </w:rPr>
          <w:t xml:space="preserve">la Gran Misión Vivienda Venezuela (GMVV)</w:t>
        </w:r>
      </w:hyperlink>
      <w:r w:rsidDel="00000000" w:rsidR="00000000" w:rsidRPr="00000000">
        <w:rPr>
          <w:rFonts w:ascii="Times New Roman" w:cs="Times New Roman" w:eastAsia="Times New Roman" w:hAnsi="Times New Roman"/>
          <w:sz w:val="28"/>
          <w:szCs w:val="28"/>
          <w:rtl w:val="0"/>
        </w:rPr>
        <w:t xml:space="preserve">, redefinió la vivienda como un derecho, redistribuyendo la renta petrolera hacia el gasto social. Lo distintivo del caso no es solo la escala masiva de construcción, sino la localización estratégica de las soluciones habitacionales.</w:t>
      </w:r>
    </w:p>
    <w:p w:rsidR="00000000" w:rsidDel="00000000" w:rsidP="00000000" w:rsidRDefault="00000000" w:rsidRPr="00000000" w14:paraId="0000000F">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parte significativa de estas obras se levantó en terrenos de alto valor comercial: avenidas céntricas de Caracas como la Bolívar y la México y la Andrés Bello, zonas de Chacao, o áreas hoteleras en La Guaira, además de desarrollos masivos como Ciudad Caribia y Ciudad Tiuna. La GMVV invirtió la secuencia de gentrificación: en vez de que el capital expulsara a las comunidades populares, fue la población trabajadora la que se instaló en zonas de alta plusvalía.</w:t>
      </w:r>
    </w:p>
    <w:p w:rsidR="00000000" w:rsidDel="00000000" w:rsidP="00000000" w:rsidRDefault="00000000" w:rsidRPr="00000000" w14:paraId="00000010">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 situar vivienda popular en áreas codiciadas por el mercado inmobiliario, el Estado interrumpió el mecanismo que permite traducir la revalorización en desplazamiento. Cuando el suelo urbano bien ubicado es ocupado por vivienda social no comercializable, la extracción de renta especulativa pierde su base material. Sin embargo, la sostenibilidad de este contramodelo depende de un aparato estatal con capacidad constructiva y de la protección legal del suelo. Ambas dimensiones se han visto tensionadas por el impacto de las sanciones internacionales y se ponen a prueba decisiva tras la catástrofe sísmica de 2026.</w:t>
      </w:r>
    </w:p>
    <w:p w:rsidR="00000000" w:rsidDel="00000000" w:rsidP="00000000" w:rsidRDefault="00000000" w:rsidRPr="00000000" w14:paraId="00000011">
      <w:pPr>
        <w:keepNext w:val="0"/>
        <w:keepLines w:val="0"/>
        <w:spacing w:after="20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sismo de 2026 y la respuesta estatal</w:t>
      </w:r>
    </w:p>
    <w:p w:rsidR="00000000" w:rsidDel="00000000" w:rsidP="00000000" w:rsidRDefault="00000000" w:rsidRPr="00000000" w14:paraId="00000012">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doblete sísmico del 24 de junio de 2026 dejó un</w:t>
      </w:r>
      <w:hyperlink r:id="rId27">
        <w:r w:rsidDel="00000000" w:rsidR="00000000" w:rsidRPr="00000000">
          <w:rPr>
            <w:rFonts w:ascii="Times New Roman" w:cs="Times New Roman" w:eastAsia="Times New Roman" w:hAnsi="Times New Roman"/>
            <w:sz w:val="28"/>
            <w:szCs w:val="28"/>
            <w:rtl w:val="0"/>
          </w:rPr>
          <w:t xml:space="preserve"> </w:t>
        </w:r>
      </w:hyperlink>
      <w:hyperlink r:id="rId28">
        <w:r w:rsidDel="00000000" w:rsidR="00000000" w:rsidRPr="00000000">
          <w:rPr>
            <w:rFonts w:ascii="Times New Roman" w:cs="Times New Roman" w:eastAsia="Times New Roman" w:hAnsi="Times New Roman"/>
            <w:color w:val="1155cc"/>
            <w:sz w:val="28"/>
            <w:szCs w:val="28"/>
            <w:u w:val="single"/>
            <w:rtl w:val="0"/>
          </w:rPr>
          <w:t xml:space="preserve">saldo oficial</w:t>
        </w:r>
      </w:hyperlink>
      <w:r w:rsidDel="00000000" w:rsidR="00000000" w:rsidRPr="00000000">
        <w:rPr>
          <w:rFonts w:ascii="Times New Roman" w:cs="Times New Roman" w:eastAsia="Times New Roman" w:hAnsi="Times New Roman"/>
          <w:sz w:val="28"/>
          <w:szCs w:val="28"/>
          <w:rtl w:val="0"/>
        </w:rPr>
        <w:t xml:space="preserve"> de 17.907 personas sin vivienda, 856 edificios afectados y 190 estructuras colapsadas a escala nacional, concentradas en La Guaira y la región centro-norte. La cifra de fallecidos superó los 5.200, lo que refleja la dimensión humana de la tragedia.</w:t>
      </w:r>
    </w:p>
    <w:p w:rsidR="00000000" w:rsidDel="00000000" w:rsidP="00000000" w:rsidRDefault="00000000" w:rsidRPr="00000000" w14:paraId="00000013">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Frente a la emergencia, el Estado movilizó la infraestructura de la GMVV. Un hito central fue la entrega inmediata en</w:t>
      </w:r>
      <w:hyperlink r:id="rId29">
        <w:r w:rsidDel="00000000" w:rsidR="00000000" w:rsidRPr="00000000">
          <w:rPr>
            <w:rFonts w:ascii="Times New Roman" w:cs="Times New Roman" w:eastAsia="Times New Roman" w:hAnsi="Times New Roman"/>
            <w:sz w:val="28"/>
            <w:szCs w:val="28"/>
            <w:rtl w:val="0"/>
          </w:rPr>
          <w:t xml:space="preserve"> </w:t>
        </w:r>
      </w:hyperlink>
      <w:hyperlink r:id="rId30">
        <w:r w:rsidDel="00000000" w:rsidR="00000000" w:rsidRPr="00000000">
          <w:rPr>
            <w:rFonts w:ascii="Times New Roman" w:cs="Times New Roman" w:eastAsia="Times New Roman" w:hAnsi="Times New Roman"/>
            <w:color w:val="1155cc"/>
            <w:sz w:val="28"/>
            <w:szCs w:val="28"/>
            <w:u w:val="single"/>
            <w:rtl w:val="0"/>
          </w:rPr>
          <w:t xml:space="preserve">Ciudad Tiuna de 240 apartamentos</w:t>
        </w:r>
      </w:hyperlink>
      <w:r w:rsidDel="00000000" w:rsidR="00000000" w:rsidRPr="00000000">
        <w:rPr>
          <w:rFonts w:ascii="Times New Roman" w:cs="Times New Roman" w:eastAsia="Times New Roman" w:hAnsi="Times New Roman"/>
          <w:sz w:val="28"/>
          <w:szCs w:val="28"/>
          <w:rtl w:val="0"/>
        </w:rPr>
        <w:t xml:space="preserve"> equipados para familias damnificadas, proyectando capacidad de respuesta inmediata, con con un plan de</w:t>
      </w:r>
      <w:hyperlink r:id="rId31">
        <w:r w:rsidDel="00000000" w:rsidR="00000000" w:rsidRPr="00000000">
          <w:rPr>
            <w:rFonts w:ascii="Times New Roman" w:cs="Times New Roman" w:eastAsia="Times New Roman" w:hAnsi="Times New Roman"/>
            <w:sz w:val="28"/>
            <w:szCs w:val="28"/>
            <w:rtl w:val="0"/>
          </w:rPr>
          <w:t xml:space="preserve"> </w:t>
        </w:r>
      </w:hyperlink>
      <w:hyperlink r:id="rId32">
        <w:r w:rsidDel="00000000" w:rsidR="00000000" w:rsidRPr="00000000">
          <w:rPr>
            <w:rFonts w:ascii="Times New Roman" w:cs="Times New Roman" w:eastAsia="Times New Roman" w:hAnsi="Times New Roman"/>
            <w:color w:val="1155cc"/>
            <w:sz w:val="28"/>
            <w:szCs w:val="28"/>
            <w:u w:val="single"/>
            <w:rtl w:val="0"/>
          </w:rPr>
          <w:t xml:space="preserve">contingencia de 4.000 viviendas</w:t>
        </w:r>
      </w:hyperlink>
      <w:r w:rsidDel="00000000" w:rsidR="00000000" w:rsidRPr="00000000">
        <w:rPr>
          <w:rFonts w:ascii="Times New Roman" w:cs="Times New Roman" w:eastAsia="Times New Roman" w:hAnsi="Times New Roman"/>
          <w:sz w:val="28"/>
          <w:szCs w:val="28"/>
          <w:rtl w:val="0"/>
        </w:rPr>
        <w:t xml:space="preserve"> mensuales hasta diciembre de 2026, proyectando superar las 10.000 unidades en 2027, acompañado de la revisión de suelos para futuras edificaciones. En paralelo, las autoridades articularon la atención en etapas de rescate y evaluación estructural – mediante un sistema de “semáforo” –, poniendo especial foco en edificaciones anteriores a 1967.</w:t>
      </w:r>
    </w:p>
    <w:p w:rsidR="00000000" w:rsidDel="00000000" w:rsidP="00000000" w:rsidRDefault="00000000" w:rsidRPr="00000000" w14:paraId="00000014">
      <w:pPr>
        <w:keepNext w:val="0"/>
        <w:keepLines w:val="0"/>
        <w:spacing w:after="20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Disputa narrativa y reformas legislativas</w:t>
      </w:r>
    </w:p>
    <w:p w:rsidR="00000000" w:rsidDel="00000000" w:rsidP="00000000" w:rsidRDefault="00000000" w:rsidRPr="00000000" w14:paraId="00000015">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los sismos, se desató una intensa batalla comunicacional. Ciertos sectores mediáticos sostuvieron que la mayoría de los</w:t>
      </w:r>
      <w:hyperlink r:id="rId33">
        <w:r w:rsidDel="00000000" w:rsidR="00000000" w:rsidRPr="00000000">
          <w:rPr>
            <w:rFonts w:ascii="Times New Roman" w:cs="Times New Roman" w:eastAsia="Times New Roman" w:hAnsi="Times New Roman"/>
            <w:sz w:val="28"/>
            <w:szCs w:val="28"/>
            <w:rtl w:val="0"/>
          </w:rPr>
          <w:t xml:space="preserve"> </w:t>
        </w:r>
      </w:hyperlink>
      <w:hyperlink r:id="rId34">
        <w:r w:rsidDel="00000000" w:rsidR="00000000" w:rsidRPr="00000000">
          <w:rPr>
            <w:rFonts w:ascii="Times New Roman" w:cs="Times New Roman" w:eastAsia="Times New Roman" w:hAnsi="Times New Roman"/>
            <w:color w:val="1155cc"/>
            <w:sz w:val="28"/>
            <w:szCs w:val="28"/>
            <w:u w:val="single"/>
            <w:rtl w:val="0"/>
          </w:rPr>
          <w:t xml:space="preserve">colapsos correspondían a desarrollos de la GMVV</w:t>
        </w:r>
      </w:hyperlink>
      <w:r w:rsidDel="00000000" w:rsidR="00000000" w:rsidRPr="00000000">
        <w:rPr>
          <w:rFonts w:ascii="Times New Roman" w:cs="Times New Roman" w:eastAsia="Times New Roman" w:hAnsi="Times New Roman"/>
          <w:sz w:val="28"/>
          <w:szCs w:val="28"/>
          <w:rtl w:val="0"/>
        </w:rPr>
        <w:t xml:space="preserve">, buscando cuestionar la idoneidad técnica de la política pública habitacional.</w:t>
      </w:r>
    </w:p>
    <w:p w:rsidR="00000000" w:rsidDel="00000000" w:rsidP="00000000" w:rsidRDefault="00000000" w:rsidRPr="00000000" w14:paraId="00000016">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respuesta, los</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1155cc"/>
            <w:sz w:val="28"/>
            <w:szCs w:val="28"/>
            <w:u w:val="single"/>
            <w:rtl w:val="0"/>
          </w:rPr>
          <w:t xml:space="preserve">voceros oficiales</w:t>
        </w:r>
      </w:hyperlink>
      <w:r w:rsidDel="00000000" w:rsidR="00000000" w:rsidRPr="00000000">
        <w:rPr>
          <w:rFonts w:ascii="Times New Roman" w:cs="Times New Roman" w:eastAsia="Times New Roman" w:hAnsi="Times New Roman"/>
          <w:sz w:val="28"/>
          <w:szCs w:val="28"/>
          <w:rtl w:val="0"/>
        </w:rPr>
        <w:t xml:space="preserve"> precisaron que, de los edificios colapsados y severamente afectados, el 80% pertenecía al sector privado. Argumentaron que las construcciones públicas cumplieron con normativas sismorresistentes avaladas por organismos técnicos como Funvisis y el IMME-UCV. La disputa sobre quién construyó qué y cuál sector falló trasciende lo coyuntural: condiciona la legitimidad institucional para dirigir la fase de reconstrucción.</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tensión simbólica coincide con el debate en la Asamblea Nacional sobre</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1155cc"/>
            <w:sz w:val="28"/>
            <w:szCs w:val="28"/>
            <w:u w:val="single"/>
            <w:rtl w:val="0"/>
          </w:rPr>
          <w:t xml:space="preserve">reformas</w:t>
        </w:r>
      </w:hyperlink>
      <w:r w:rsidDel="00000000" w:rsidR="00000000" w:rsidRPr="00000000">
        <w:rPr>
          <w:rFonts w:ascii="Times New Roman" w:cs="Times New Roman" w:eastAsia="Times New Roman" w:hAnsi="Times New Roman"/>
          <w:sz w:val="28"/>
          <w:szCs w:val="28"/>
          <w:rtl w:val="0"/>
        </w:rPr>
        <w:t xml:space="preserve"> a la Ley contra la Estafa Inmobiliaria y la Ley de Arrendamiento. Promovidas con el objetivo de dinamizar la economía e incentivar la inversión privada, estas propuestas buscan flexibilizar garantías y ofrecer seguridad jurídica a la banca y a los propietarios para liberar oferta de alquiler.</w:t>
      </w:r>
    </w:p>
    <w:p w:rsidR="00000000" w:rsidDel="00000000" w:rsidP="00000000" w:rsidRDefault="00000000" w:rsidRPr="00000000" w14:paraId="00000018">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dilema de fondo es claro: aunque estas reformas se presentan como complementarias a la GMVV, adoptan conceptos que históricamente anteceden a procesos de revalorización especulativa. Las organizaciones populares y movimientos de pobladores enfatizan la necesidad de vigilar que la flexibilización normativa o la intervención de actores internacionales en la reconstrucción no terminen erosionando el carácter decomodificado de la vivienda ni facilitando procesos de gentrificación por la vía legislativa.</w:t>
      </w:r>
    </w:p>
    <w:p w:rsidR="00000000" w:rsidDel="00000000" w:rsidP="00000000" w:rsidRDefault="00000000" w:rsidRPr="00000000" w14:paraId="00000019">
      <w:pPr>
        <w:keepNext w:val="0"/>
        <w:keepLines w:val="0"/>
        <w:spacing w:after="20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una primera conclusión, de un evento complejo que está en sus cimientos, el escenario venezolano posterior a los terremotos de junio de 2026 condensa la lucha entre dos paradigmas urbanos: la vivienda concebida como derecho humano garantizado por el Estado frente a la vivienda entendida como activo financiero. Si bien la respuesta estatal demostró capacidad de despliegue material, la reconstrucción futura abre una encrucijada. El reto del modelo venezolano radica en superar la emergencia sísmica y económica sin ceder los avances de justicia espacial conquistados durante casi dos décadas y reforzar el modelo popular.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martcitiesdive.com/ex/sustainablecitiescollective/san-francisco-s-mission-district-controversial-gentrification/332586/" TargetMode="External"/><Relationship Id="rId22" Type="http://schemas.openxmlformats.org/officeDocument/2006/relationships/hyperlink" Target="https://temploconsulting.com/la-gentrificacion-en-europa/" TargetMode="External"/><Relationship Id="rId21" Type="http://schemas.openxmlformats.org/officeDocument/2006/relationships/hyperlink" Target="https://www.smartcitiesdive.com/ex/sustainablecitiescollective/san-francisco-s-mission-district-controversial-gentrification/332586/" TargetMode="External"/><Relationship Id="rId24" Type="http://schemas.openxmlformats.org/officeDocument/2006/relationships/hyperlink" Target="https://journals.openedition.org/polis/10754?lang=en" TargetMode="External"/><Relationship Id="rId23" Type="http://schemas.openxmlformats.org/officeDocument/2006/relationships/hyperlink" Target="https://temploconsulting.com/la-gentrificacion-en-europ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elarg.org.ve/" TargetMode="External"/><Relationship Id="rId26" Type="http://schemas.openxmlformats.org/officeDocument/2006/relationships/hyperlink" Target="https://www.instagram.com/reels/DVuBiLnEW59/" TargetMode="External"/><Relationship Id="rId25" Type="http://schemas.openxmlformats.org/officeDocument/2006/relationships/hyperlink" Target="https://www.instagram.com/reels/DVuBiLnEW59/" TargetMode="External"/><Relationship Id="rId28" Type="http://schemas.openxmlformats.org/officeDocument/2006/relationships/hyperlink" Target="https://www.eltiempo.com/amp/mundo/venezuela/venezuela-eleva-a-5-278-la-cifra-de-muertos-por-el-doble-terremoto-mas-de-128-000-familias-han-sido-atendidas-tras-la-emergencia-nacional-3572560." TargetMode="External"/><Relationship Id="rId27" Type="http://schemas.openxmlformats.org/officeDocument/2006/relationships/hyperlink" Target="https://www.eltiempo.com/amp/mundo/venezuela/venezuela-eleva-a-5-278-la-cifra-de-muertos-por-el-doble-terremoto-mas-de-128-000-familias-han-sido-atendidas-tras-la-emergencia-nacional-3572560."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prensapresidencialvenezuela.gob.ve/index.php/2026/07/20/presidenta-delcy-rodriguez-entrega-nuevas-viviendas-a-200-familias-afectadas-por-los-sismos-del-24-de-junio/" TargetMode="External"/><Relationship Id="rId7" Type="http://schemas.openxmlformats.org/officeDocument/2006/relationships/hyperlink" Target="https://globetrotter.media/" TargetMode="External"/><Relationship Id="rId8" Type="http://schemas.openxmlformats.org/officeDocument/2006/relationships/hyperlink" Target="https://www.celarg.org.ve/" TargetMode="External"/><Relationship Id="rId31" Type="http://schemas.openxmlformats.org/officeDocument/2006/relationships/hyperlink" Target="https://prensapresidencialvenezuela.gob.ve/index.php/2026/07/20/4-mil-viviendas-seran-entregadas-este-ano-a-victimas-de-los-terremotos/" TargetMode="External"/><Relationship Id="rId30" Type="http://schemas.openxmlformats.org/officeDocument/2006/relationships/hyperlink" Target="https://prensapresidencialvenezuela.gob.ve/index.php/2026/07/20/presidenta-delcy-rodriguez-entrega-nuevas-viviendas-a-200-familias-afectadas-por-los-sismos-del-24-de-junio/" TargetMode="External"/><Relationship Id="rId11" Type="http://schemas.openxmlformats.org/officeDocument/2006/relationships/hyperlink" Target="https://thetricontinental.org/es/" TargetMode="External"/><Relationship Id="rId33" Type="http://schemas.openxmlformats.org/officeDocument/2006/relationships/hyperlink" Target="https://www.abc.es/internacional/viviendas-sociales-hugo-chavez-desploman-castillos-arena-20260627022559-nt.html" TargetMode="External"/><Relationship Id="rId10" Type="http://schemas.openxmlformats.org/officeDocument/2006/relationships/hyperlink" Target="https://thetricontinental.org/es/" TargetMode="External"/><Relationship Id="rId32" Type="http://schemas.openxmlformats.org/officeDocument/2006/relationships/hyperlink" Target="https://prensapresidencialvenezuela.gob.ve/index.php/2026/07/20/4-mil-viviendas-seran-entregadas-este-ano-a-victimas-de-los-terremotos/" TargetMode="External"/><Relationship Id="rId13" Type="http://schemas.openxmlformats.org/officeDocument/2006/relationships/hyperlink" Target="https://www.dw.com/es/la-gentrificaci%C3%B3n-avanza-en-ciudades-de-am%C3%A9rica-latina/a-67205546" TargetMode="External"/><Relationship Id="rId35" Type="http://schemas.openxmlformats.org/officeDocument/2006/relationships/hyperlink" Target="https://mazo4f.com/arreaza-afirma-que-senalamientos-contra-la-gran-mision-vivienda-venezuela-buscan-desvirtuar-su-alcance" TargetMode="External"/><Relationship Id="rId12" Type="http://schemas.openxmlformats.org/officeDocument/2006/relationships/hyperlink" Target="https://www.dw.com/es/la-gentrificaci%C3%B3n-avanza-en-ciudades-de-am%C3%A9rica-latina/a-67205546" TargetMode="External"/><Relationship Id="rId34" Type="http://schemas.openxmlformats.org/officeDocument/2006/relationships/hyperlink" Target="https://www.abc.es/internacional/viviendas-sociales-hugo-chavez-desploman-castillos-arena-20260627022559-nt.html" TargetMode="External"/><Relationship Id="rId15" Type="http://schemas.openxmlformats.org/officeDocument/2006/relationships/hyperlink" Target="https://roomix.ai/blog/gentrificacion-barrios-buenos-aires" TargetMode="External"/><Relationship Id="rId37" Type="http://schemas.openxmlformats.org/officeDocument/2006/relationships/hyperlink" Target="https://www.asambleanacional.gob.ve/noticias/diputado-rigel-sergent-parlamento-nacional-busca-dinamizar-el-mercado-inmobiliario" TargetMode="External"/><Relationship Id="rId14" Type="http://schemas.openxmlformats.org/officeDocument/2006/relationships/hyperlink" Target="https://roomix.ai/blog/gentrificacion-barrios-buenos-aires" TargetMode="External"/><Relationship Id="rId36" Type="http://schemas.openxmlformats.org/officeDocument/2006/relationships/hyperlink" Target="https://mazo4f.com/arreaza-afirma-que-senalamientos-contra-la-gran-mision-vivienda-venezuela-buscan-desvirtuar-su-alcance" TargetMode="External"/><Relationship Id="rId17" Type="http://schemas.openxmlformats.org/officeDocument/2006/relationships/hyperlink" Target="https://www.swissinfo.ch/spa/megaproyectos-inmobiliarios-acosan-a-familias-pobres-en-playas-de-el-salvador/86477842" TargetMode="External"/><Relationship Id="rId16" Type="http://schemas.openxmlformats.org/officeDocument/2006/relationships/hyperlink" Target="https://www.swissinfo.ch/spa/megaproyectos-inmobiliarios-acosan-a-familias-pobres-en-playas-de-el-salvador/86477842" TargetMode="External"/><Relationship Id="rId38" Type="http://schemas.openxmlformats.org/officeDocument/2006/relationships/hyperlink" Target="https://www.asambleanacional.gob.ve/noticias/diputado-rigel-sergent-parlamento-nacional-busca-dinamizar-el-mercado-inmobiliario" TargetMode="External"/><Relationship Id="rId19" Type="http://schemas.openxmlformats.org/officeDocument/2006/relationships/hyperlink" Target="https://www.ucr.ac.cr/noticias" TargetMode="External"/><Relationship Id="rId18" Type="http://schemas.openxmlformats.org/officeDocument/2006/relationships/hyperlink" Target="https://www.ucr.ac.cr/notic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