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spacing w:after="200" w:before="48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Título: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O Irã tem o direito de se defender</w:t>
      </w:r>
    </w:p>
    <w:p w:rsidR="00000000" w:rsidDel="00000000" w:rsidP="00000000" w:rsidRDefault="00000000" w:rsidRPr="00000000" w14:paraId="00000002">
      <w:pPr>
        <w:spacing w:after="200" w:befor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Por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Ali Abutalebi</w:t>
      </w:r>
    </w:p>
    <w:p w:rsidR="00000000" w:rsidDel="00000000" w:rsidP="00000000" w:rsidRDefault="00000000" w:rsidRPr="00000000" w14:paraId="00000003">
      <w:pPr>
        <w:spacing w:after="200" w:befor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Biografia do autor: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Este artigo foi elaborado por </w:t>
      </w:r>
      <w:hyperlink r:id="rId6">
        <w:r w:rsidDel="00000000" w:rsidR="00000000" w:rsidRPr="00000000">
          <w:rPr>
            <w:rFonts w:ascii="Times New Roman" w:cs="Times New Roman" w:eastAsia="Times New Roman" w:hAnsi="Times New Roman"/>
            <w:color w:val="1155cc"/>
            <w:sz w:val="28"/>
            <w:szCs w:val="28"/>
            <w:u w:val="single"/>
            <w:rtl w:val="0"/>
          </w:rPr>
          <w:t xml:space="preserve">Globetrotter</w:t>
        </w:r>
      </w:hyperlink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. Ali Abutalebi é diretor executivo da Mazmoon Books desde 2005. Fundou a Campanha Iraniana de Solidariedade com Cuba, trabalhou como diretor de publicações na House of Latin America (HOLA) e é autor de vários artigos para a imprensa iraniana e sites políticos, focados principalmente nos movimentos progressistas latino-americanos. Ali publicou um livro sobre Cuba intitulado 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8"/>
          <w:szCs w:val="28"/>
          <w:rtl w:val="0"/>
        </w:rPr>
        <w:t xml:space="preserve">Rest in Peace Ernesto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.</w:t>
      </w:r>
    </w:p>
    <w:p w:rsidR="00000000" w:rsidDel="00000000" w:rsidP="00000000" w:rsidRDefault="00000000" w:rsidRPr="00000000" w14:paraId="00000004">
      <w:pPr>
        <w:spacing w:after="200" w:before="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Fonte: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Globetrotter</w:t>
      </w:r>
    </w:p>
    <w:p w:rsidR="00000000" w:rsidDel="00000000" w:rsidP="00000000" w:rsidRDefault="00000000" w:rsidRPr="00000000" w14:paraId="00000005">
      <w:pPr>
        <w:spacing w:after="200" w:before="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Rótulos: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Oriente Médio/Irã, Oriente Médio/Israel, América do Norte/Estados Unidos, Direito internacional, Guerra, Nações Unidas, Notícias, Opinião</w:t>
      </w:r>
    </w:p>
    <w:p w:rsidR="00000000" w:rsidDel="00000000" w:rsidP="00000000" w:rsidRDefault="00000000" w:rsidRPr="00000000" w14:paraId="00000006">
      <w:pPr>
        <w:spacing w:after="200" w:befor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200" w:befor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[Corpo do artigo:]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200" w:befor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No último dia de fevereiro, os Estados Unidos e Israel lançaram uma nova rodada de ataques militares contra o Irã. Nos primeiros minutos da operação, a residência do líder supremo do Irã, o grande aiatolá Sayyid Ali Hosseini Jamenei, foi alvo de um ataque que resultou em seu assassinato e na morte de vários membros de sua família, incluindo sua neta de 14 meses, Sayyidah Zahra.</w:t>
      </w:r>
    </w:p>
    <w:p w:rsidR="00000000" w:rsidDel="00000000" w:rsidP="00000000" w:rsidRDefault="00000000" w:rsidRPr="00000000" w14:paraId="00000009">
      <w:pPr>
        <w:spacing w:after="200" w:befor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O assassinato de um chefe de Estado em exercício, juntamente com membros de sua família, representou uma escalada extraordinária e transformou imediatamente o confronto com o Irã em algo muito mais grave do que um conflito militar convencional.</w:t>
      </w:r>
    </w:p>
    <w:p w:rsidR="00000000" w:rsidDel="00000000" w:rsidP="00000000" w:rsidRDefault="00000000" w:rsidRPr="00000000" w14:paraId="0000000A">
      <w:pPr>
        <w:spacing w:after="200" w:befor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Os ataques não se limitaram a alvos da liderança. Nas cidades de Minab e Lamerd, no sul do Irã, uma escola primária e um complexo esportivo foram atacados, causando a morte de várias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crianças, jovens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vítimas que são consideradas mártires no Irã.</w:t>
      </w:r>
    </w:p>
    <w:p w:rsidR="00000000" w:rsidDel="00000000" w:rsidP="00000000" w:rsidRDefault="00000000" w:rsidRPr="00000000" w14:paraId="0000000B">
      <w:pPr>
        <w:spacing w:after="200" w:befor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Em resposta, as forças armadas do Irã, incluindo o exército nacional e o Corpo da Guarda Revolucionária Islâmica (IRGC), lançaram ataques de represália contra vários alvos na região que há muito tempo eram identificados como possíveis objetivos militares.</w:t>
      </w:r>
    </w:p>
    <w:p w:rsidR="00000000" w:rsidDel="00000000" w:rsidP="00000000" w:rsidRDefault="00000000" w:rsidRPr="00000000" w14:paraId="0000000C">
      <w:pPr>
        <w:spacing w:after="200" w:befor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Na esteira disso, muitas declarações diplomáticas repetiram uma frase familiar e aparentemente baseada em princípios: “A integridade territorial do Irã e de outros países deve ser respeitada”. Duas dessas declarações merecem atenção especial: a declaração oficial da República Bolivariana da Venezuela, que foi retirada pouco depois de sua publicação, e uma mensagem publicada pelo presidente de Cuba em seu canal oficial no Telegram.</w:t>
      </w:r>
    </w:p>
    <w:p w:rsidR="00000000" w:rsidDel="00000000" w:rsidP="00000000" w:rsidRDefault="00000000" w:rsidRPr="00000000" w14:paraId="0000000D">
      <w:pPr>
        <w:spacing w:after="200" w:befor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Esses dois casos merecem ser examinados com especial atenção porque os governos da Venezuela e de Cuba têm historicamente evitado o tipo de linguagem diplomática neutra que outros Estados costumam usar — declarações que normalmente exortam “ambas as partes a agir com moderação”.</w:t>
      </w:r>
    </w:p>
    <w:p w:rsidR="00000000" w:rsidDel="00000000" w:rsidP="00000000" w:rsidRDefault="00000000" w:rsidRPr="00000000" w14:paraId="0000000E">
      <w:pPr>
        <w:spacing w:after="200" w:befor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A Venezuela classificou os ataques de represália do Irã como “indevidos e condenáveis”, enquanto o presidente cubano pediu que se respeitasse a soberania e a integridade territorial de todos os Estados e instou ao fim das ações que prejudicam a população civil ou danificam a infraestrutura civil nos países do Golfo Pérsico.</w:t>
      </w:r>
    </w:p>
    <w:p w:rsidR="00000000" w:rsidDel="00000000" w:rsidP="00000000" w:rsidRDefault="00000000" w:rsidRPr="00000000" w14:paraId="0000000F">
      <w:pPr>
        <w:spacing w:after="200" w:befor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No papel, essa formulação parece equilibrada e coerente com o direito internacional. No entanto, a realidade política costuma ser muito mais complexa do que sugere a linguagem diplomática.</w:t>
      </w:r>
    </w:p>
    <w:p w:rsidR="00000000" w:rsidDel="00000000" w:rsidP="00000000" w:rsidRDefault="00000000" w:rsidRPr="00000000" w14:paraId="00000010">
      <w:pPr>
        <w:spacing w:after="200" w:befor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O princípio da integridade territorial não pode ser reduzido a uma fórmula retórica alheia às condições materiais. A soberania não é apenas uma abstração jurídica, mas uma responsabilidade política. Um Estado que reivindica sua soberania deve exercer controle efetivo sobre o uso de seu território, especialmente quando este se torna uma plataforma para a agressão militar contra outro país.</w:t>
      </w:r>
    </w:p>
    <w:p w:rsidR="00000000" w:rsidDel="00000000" w:rsidP="00000000" w:rsidRDefault="00000000" w:rsidRPr="00000000" w14:paraId="00000011">
      <w:pPr>
        <w:spacing w:after="200" w:befor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Quando um Estado permite que potências militares estrangeiras utilizem seu território, seu espaço aéreo ou suas infraestruturas para planejar e lançar ataques contra outra nação soberana, chega-se a duas conclusões lógicas. Ou esse Estado já não exerce uma soberania genuína, ou se juntou efetivamente ao conflito ao lado dessas potências. A neutralidade não pode coexistir com a facilitação de atos de guerra.</w:t>
      </w:r>
    </w:p>
    <w:p w:rsidR="00000000" w:rsidDel="00000000" w:rsidP="00000000" w:rsidRDefault="00000000" w:rsidRPr="00000000" w14:paraId="00000012">
      <w:pPr>
        <w:spacing w:after="200" w:befor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O próprio direito internacional reconhece essa distinção. Nos termos do artigo 51 da Carta das Nações Unidas, os Estados têm o direito inerente à legítima defesa quando sofrem um ataque armado. Esse direito não depende da aprovação diplomática ou da simpatia política, mas decorre da realidade factual do uso da força.</w:t>
      </w:r>
    </w:p>
    <w:p w:rsidR="00000000" w:rsidDel="00000000" w:rsidP="00000000" w:rsidRDefault="00000000" w:rsidRPr="00000000" w14:paraId="00000013">
      <w:pPr>
        <w:spacing w:after="200" w:befor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Portanto, a legítima defesa não é uma exceção às normas internacionais, mas um de seus princípios fundamentais.</w:t>
      </w:r>
    </w:p>
    <w:p w:rsidR="00000000" w:rsidDel="00000000" w:rsidP="00000000" w:rsidRDefault="00000000" w:rsidRPr="00000000" w14:paraId="00000014">
      <w:pPr>
        <w:spacing w:after="200" w:befor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Culpar o Irã por responder militarmente ignora essa realidade fundamental. A responsabilidade não termina com o ator que lança o ataque. Aqueles que facilitam materialmente a agressão — ao abrigar bases estrangeiras, fornecer corredores logísticos ou integrar seus sistemas de segurança a operações militares externas — não podem simultaneamente reivindicar neutralidade enquanto se beneficiam da proteção que lhes confere a soberania.</w:t>
      </w:r>
    </w:p>
    <w:p w:rsidR="00000000" w:rsidDel="00000000" w:rsidP="00000000" w:rsidRDefault="00000000" w:rsidRPr="00000000" w14:paraId="00000015">
      <w:pPr>
        <w:spacing w:after="200" w:befor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Vários Estados do Golfo Pérsico gastam bilhões de dólares na compra de sistemas de armas e garantias de segurança dos Estados Unidos, ao mesmo tempo em que se apresentam como atores totalmente independentes. Na prática, esses acordos muitas vezes terceirizam a defesa nacional e incorporam interesses militares estrangeiros no território nacional.</w:t>
      </w:r>
    </w:p>
    <w:p w:rsidR="00000000" w:rsidDel="00000000" w:rsidP="00000000" w:rsidRDefault="00000000" w:rsidRPr="00000000" w14:paraId="00000016">
      <w:pPr>
        <w:spacing w:after="200" w:befor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Na verdade, esses Estados utilizam sua própria riqueza para adquirir armas americanas que, em última análise, servem para proteger a presença e os interesses das forças americanas, em vez de sua própria soberania.</w:t>
      </w:r>
    </w:p>
    <w:p w:rsidR="00000000" w:rsidDel="00000000" w:rsidP="00000000" w:rsidRDefault="00000000" w:rsidRPr="00000000" w14:paraId="00000017">
      <w:pPr>
        <w:spacing w:after="200" w:befor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Essa contradição tem raízes históricas profundas. Grande parte do sistema estatal contemporâneo da Ásia Ocidental surgiu da reestruturação imperial após a Primeira Guerra Mundial, quando as fronteiras e as arquiteturas de segurança foram configuradas em função dos interesses estratégicos imperiais, em vez da autêntica autodeterminação. O legado dessa ordem continua a limitar a autonomia dos Estados cujas políticas de segurança permanecem estruturalmente ligadas às potências ocidentais.</w:t>
      </w:r>
    </w:p>
    <w:p w:rsidR="00000000" w:rsidDel="00000000" w:rsidP="00000000" w:rsidRDefault="00000000" w:rsidRPr="00000000" w14:paraId="00000018">
      <w:pPr>
        <w:spacing w:after="200" w:befor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Nesse contexto, o confronto em torno do Irã tem um significado histórico mais amplo. A luta do Irã é cada vez mais vista em partes da Ásia, África e América Latina como parte de uma questão mais ampla enfrentada pelo Sul Global: se as sociedades pós-coloniais têm o direito de desenvolver capacidades políticas, tecnológicas e de segurança independentes sem coação externa.</w:t>
      </w:r>
    </w:p>
    <w:p w:rsidR="00000000" w:rsidDel="00000000" w:rsidP="00000000" w:rsidRDefault="00000000" w:rsidRPr="00000000" w14:paraId="00000019">
      <w:pPr>
        <w:spacing w:after="200" w:befor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O Sul Global não é apenas uma categoria geográfica, mas uma condição histórica moldada pela dominação colonial e pela integração desigual no sistema internacional. Muitas nações gozam formalmente de soberania, mas continuam limitadas pela dependência militar, regimes de sanções ou relações de poder assimétricas.</w:t>
      </w:r>
    </w:p>
    <w:p w:rsidR="00000000" w:rsidDel="00000000" w:rsidP="00000000" w:rsidRDefault="00000000" w:rsidRPr="00000000" w14:paraId="0000001A">
      <w:pPr>
        <w:spacing w:after="200" w:befor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Quando os Estados não ocidentais tentam alcançar autonomia estratégica, suas ações são frequentemente consideradas ameaças desestabilizadoras, em vez de expressões de igualdade soberana.</w:t>
      </w:r>
    </w:p>
    <w:p w:rsidR="00000000" w:rsidDel="00000000" w:rsidP="00000000" w:rsidRDefault="00000000" w:rsidRPr="00000000" w14:paraId="0000001B">
      <w:pPr>
        <w:spacing w:after="200" w:befor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A mensagem implícita é difícil de ignorar: a força militar e o poder tecnológico são considerados legítimos quando monopolizados pelas potências dominantes, mas perigosos quando buscados por Estados alheios a essa hierarquia. Portanto, a pergunta é inevitável: quem decidiu que as nações do Sul Global não têm direito ao empoderamento?</w:t>
      </w:r>
    </w:p>
    <w:p w:rsidR="00000000" w:rsidDel="00000000" w:rsidP="00000000" w:rsidRDefault="00000000" w:rsidRPr="00000000" w14:paraId="0000001C">
      <w:pPr>
        <w:spacing w:after="200" w:befor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Para muitos observadores, a pressão exercida sobre o Irã reflete uma expectativa mais ampla de que os Estados independentes devem aceitar, em última instância, a subordinação dentro da ordem mundial existente. A exigência não é apenas uma mudança de política, mas uma rendição estratégica, cujo cumprimento é imposto por meio de sanções, isolamento e, quando necessário, pressão militar.</w:t>
      </w:r>
    </w:p>
    <w:p w:rsidR="00000000" w:rsidDel="00000000" w:rsidP="00000000" w:rsidRDefault="00000000" w:rsidRPr="00000000" w14:paraId="0000001D">
      <w:pPr>
        <w:spacing w:after="200" w:befor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Se esse precedente for normalizado, suas implicações se estenderão muito além do Irã. A derrota de um Estado que tenta preservar sua autonomia estratégica indicaria a outras nações do Sul Global que a soberania só existe dentro dos limites definidos pela ordem liderada pelos Estados Unidos.</w:t>
      </w:r>
    </w:p>
    <w:p w:rsidR="00000000" w:rsidDel="00000000" w:rsidP="00000000" w:rsidRDefault="00000000" w:rsidRPr="00000000" w14:paraId="0000001E">
      <w:pPr>
        <w:spacing w:after="200" w:befor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Por outro lado, a preservação da tomada de decisões independente afirma a possibilidade de uma ordem internacional mais plural e equilibrada.</w:t>
      </w:r>
    </w:p>
    <w:p w:rsidR="00000000" w:rsidDel="00000000" w:rsidP="00000000" w:rsidRDefault="00000000" w:rsidRPr="00000000" w14:paraId="0000001F">
      <w:pPr>
        <w:spacing w:after="200" w:befor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Não se pode esperar que um Estado absorva ataques indefinidamente enquanto a infraestrutura que os permite opera livremente além de suas fronteiras. Se a soberania tem um significado real, ela deve incluir o direito de neutralizar as ameaças dirigidas contra sua existência.</w:t>
      </w:r>
    </w:p>
    <w:p w:rsidR="00000000" w:rsidDel="00000000" w:rsidP="00000000" w:rsidRDefault="00000000" w:rsidRPr="00000000" w14:paraId="00000020">
      <w:pPr>
        <w:spacing w:after="200" w:befor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Portanto, a questão não é se a integridade territorial deve ser respeitada — porque ela deve ser respeitada. A verdadeira questão é se esse princípio pode ser invocado de forma seletiva: exigido de alguns Estados e ignorado quando seu território se torna palco de agressões contra outros.</w:t>
      </w:r>
    </w:p>
    <w:p w:rsidR="00000000" w:rsidDel="00000000" w:rsidP="00000000" w:rsidRDefault="00000000" w:rsidRPr="00000000" w14:paraId="00000021">
      <w:pPr>
        <w:spacing w:after="200" w:befor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Nesse sentido, o direito do Irã de se defender não é um desvio da ordem internacional. É uma consequência direta dela e, para grande parte do Sul Global, uma prova de que a soberania no século XXI continua sendo um direito universal ou um privilégio reservado a um bloco alinhado com os Estados Unidos.</w:t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s://globetrotter.media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