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Titular:</w:t>
      </w:r>
      <w:r w:rsidDel="00000000" w:rsidR="00000000" w:rsidRPr="00000000">
        <w:rPr>
          <w:rFonts w:ascii="Times New Roman" w:cs="Times New Roman" w:eastAsia="Times New Roman" w:hAnsi="Times New Roman"/>
          <w:sz w:val="28"/>
          <w:szCs w:val="28"/>
          <w:rtl w:val="0"/>
        </w:rPr>
        <w:t xml:space="preserve"> Seis puntos para navegar por la situación actual en Irán</w:t>
      </w:r>
    </w:p>
    <w:p w:rsidR="00000000" w:rsidDel="00000000" w:rsidP="00000000" w:rsidRDefault="00000000" w:rsidRPr="00000000" w14:paraId="00000002">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Por Vijay Prashad</w:t>
      </w:r>
    </w:p>
    <w:p w:rsidR="00000000" w:rsidDel="00000000" w:rsidP="00000000" w:rsidRDefault="00000000" w:rsidRPr="00000000" w14:paraId="00000003">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Biografía del autor:</w:t>
      </w:r>
      <w:r w:rsidDel="00000000" w:rsidR="00000000" w:rsidRPr="00000000">
        <w:rPr>
          <w:rFonts w:ascii="Times New Roman" w:cs="Times New Roman" w:eastAsia="Times New Roman" w:hAnsi="Times New Roman"/>
          <w:sz w:val="28"/>
          <w:szCs w:val="28"/>
          <w:rtl w:val="0"/>
        </w:rPr>
        <w:t xml:space="preserve"> Este artículo ha sido elaborado por</w:t>
      </w:r>
      <w:hyperlink r:id="rId6">
        <w:r w:rsidDel="00000000" w:rsidR="00000000" w:rsidRPr="00000000">
          <w:rPr>
            <w:rFonts w:ascii="Times New Roman" w:cs="Times New Roman" w:eastAsia="Times New Roman" w:hAnsi="Times New Roman"/>
            <w:sz w:val="28"/>
            <w:szCs w:val="28"/>
            <w:rtl w:val="0"/>
          </w:rPr>
          <w:t xml:space="preserve"> </w:t>
        </w:r>
      </w:hyperlink>
      <w:hyperlink r:id="rId7">
        <w:r w:rsidDel="00000000" w:rsidR="00000000" w:rsidRPr="00000000">
          <w:rPr>
            <w:rFonts w:ascii="Times New Roman" w:cs="Times New Roman" w:eastAsia="Times New Roman" w:hAnsi="Times New Roman"/>
            <w:color w:val="1155cc"/>
            <w:sz w:val="28"/>
            <w:szCs w:val="28"/>
            <w:u w:val="single"/>
            <w:rtl w:val="0"/>
          </w:rPr>
          <w:t xml:space="preserve">Globetrotter</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highlight w:val="white"/>
          <w:rtl w:val="0"/>
        </w:rPr>
        <w:t xml:space="preserve">Vijay Prashad es un historiador, editor y periodista indio. Es miembro de la redacción y corresponsal en jefe de Globetrotter. Es editor en jefe de </w:t>
      </w:r>
      <w:hyperlink r:id="rId8">
        <w:r w:rsidDel="00000000" w:rsidR="00000000" w:rsidRPr="00000000">
          <w:rPr>
            <w:rFonts w:ascii="Times New Roman" w:cs="Times New Roman" w:eastAsia="Times New Roman" w:hAnsi="Times New Roman"/>
            <w:color w:val="1155cc"/>
            <w:sz w:val="28"/>
            <w:szCs w:val="28"/>
            <w:highlight w:val="white"/>
            <w:u w:val="single"/>
            <w:rtl w:val="0"/>
          </w:rPr>
          <w:t xml:space="preserve">LeftWord Books</w:t>
        </w:r>
      </w:hyperlink>
      <w:r w:rsidDel="00000000" w:rsidR="00000000" w:rsidRPr="00000000">
        <w:rPr>
          <w:rFonts w:ascii="Times New Roman" w:cs="Times New Roman" w:eastAsia="Times New Roman" w:hAnsi="Times New Roman"/>
          <w:sz w:val="28"/>
          <w:szCs w:val="28"/>
          <w:highlight w:val="white"/>
          <w:rtl w:val="0"/>
        </w:rPr>
        <w:t xml:space="preserve"> y director del </w:t>
      </w:r>
      <w:hyperlink r:id="rId9">
        <w:r w:rsidDel="00000000" w:rsidR="00000000" w:rsidRPr="00000000">
          <w:rPr>
            <w:rFonts w:ascii="Times New Roman" w:cs="Times New Roman" w:eastAsia="Times New Roman" w:hAnsi="Times New Roman"/>
            <w:color w:val="1155cc"/>
            <w:sz w:val="28"/>
            <w:szCs w:val="28"/>
            <w:highlight w:val="white"/>
            <w:u w:val="single"/>
            <w:rtl w:val="0"/>
          </w:rPr>
          <w:t xml:space="preserve">Instituto Tricontinental de Investigación Social</w:t>
        </w:r>
      </w:hyperlink>
      <w:r w:rsidDel="00000000" w:rsidR="00000000" w:rsidRPr="00000000">
        <w:rPr>
          <w:rFonts w:ascii="Times New Roman" w:cs="Times New Roman" w:eastAsia="Times New Roman" w:hAnsi="Times New Roman"/>
          <w:sz w:val="28"/>
          <w:szCs w:val="28"/>
          <w:highlight w:val="white"/>
          <w:rtl w:val="0"/>
        </w:rPr>
        <w:t xml:space="preserve">. Ha escrito más de 20 libros, entre ellos </w:t>
      </w:r>
      <w:hyperlink r:id="rId10">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Las Naciones Oscuras</w:t>
        </w:r>
      </w:hyperlink>
      <w:r w:rsidDel="00000000" w:rsidR="00000000" w:rsidRPr="00000000">
        <w:rPr>
          <w:rFonts w:ascii="Times New Roman" w:cs="Times New Roman" w:eastAsia="Times New Roman" w:hAnsi="Times New Roman"/>
          <w:sz w:val="28"/>
          <w:szCs w:val="28"/>
          <w:highlight w:val="white"/>
          <w:rtl w:val="0"/>
        </w:rPr>
        <w:t xml:space="preserve"> y </w:t>
      </w:r>
      <w:hyperlink r:id="rId11">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Las Naciones Pobres</w:t>
        </w:r>
      </w:hyperlink>
      <w:r w:rsidDel="00000000" w:rsidR="00000000" w:rsidRPr="00000000">
        <w:rPr>
          <w:rFonts w:ascii="Times New Roman" w:cs="Times New Roman" w:eastAsia="Times New Roman" w:hAnsi="Times New Roman"/>
          <w:sz w:val="28"/>
          <w:szCs w:val="28"/>
          <w:highlight w:val="white"/>
          <w:rtl w:val="0"/>
        </w:rPr>
        <w:t xml:space="preserve">. Sus libros más recientes son </w:t>
      </w:r>
      <w:hyperlink r:id="rId12">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Luchar nos hace humanos: aprendiendo de los movimientos por el socialismo</w:t>
        </w:r>
      </w:hyperlink>
      <w:r w:rsidDel="00000000" w:rsidR="00000000" w:rsidRPr="00000000">
        <w:rPr>
          <w:rFonts w:ascii="Times New Roman" w:cs="Times New Roman" w:eastAsia="Times New Roman" w:hAnsi="Times New Roman"/>
          <w:sz w:val="28"/>
          <w:szCs w:val="28"/>
          <w:rtl w:val="0"/>
        </w:rPr>
        <w:t xml:space="preserve">, </w:t>
      </w:r>
      <w:hyperlink r:id="rId13">
        <w:r w:rsidDel="00000000" w:rsidR="00000000" w:rsidRPr="00000000">
          <w:rPr>
            <w:rFonts w:ascii="Times New Roman" w:cs="Times New Roman" w:eastAsia="Times New Roman" w:hAnsi="Times New Roman"/>
            <w:i w:val="1"/>
            <w:iCs w:val="1"/>
            <w:color w:val="1155cc"/>
            <w:sz w:val="28"/>
            <w:szCs w:val="28"/>
            <w:highlight w:val="white"/>
            <w:u w:val="single"/>
            <w:rtl w:val="0"/>
          </w:rPr>
          <w:t xml:space="preserve">La retirada: Irak, Libia, Afganistán y la fragilidad del poder estadounidense</w:t>
        </w:r>
      </w:hyperlink>
      <w:r w:rsidDel="00000000" w:rsidR="00000000" w:rsidRPr="00000000">
        <w:rPr>
          <w:rFonts w:ascii="Times New Roman" w:cs="Times New Roman" w:eastAsia="Times New Roman" w:hAnsi="Times New Roman"/>
          <w:sz w:val="28"/>
          <w:szCs w:val="28"/>
          <w:highlight w:val="white"/>
          <w:rtl w:val="0"/>
        </w:rPr>
        <w:t xml:space="preserve"> y </w:t>
      </w:r>
      <w:hyperlink r:id="rId14">
        <w:r w:rsidDel="00000000" w:rsidR="00000000" w:rsidRPr="00000000">
          <w:rPr>
            <w:rFonts w:ascii="Times New Roman" w:cs="Times New Roman" w:eastAsia="Times New Roman" w:hAnsi="Times New Roman"/>
            <w:i w:val="1"/>
            <w:iCs w:val="1"/>
            <w:color w:val="1155cc"/>
            <w:sz w:val="28"/>
            <w:szCs w:val="28"/>
            <w:u w:val="single"/>
            <w:rtl w:val="0"/>
          </w:rPr>
          <w:t xml:space="preserve">Sobre Cuba: 70 años de Revolución y Lucha</w:t>
        </w:r>
      </w:hyperlink>
      <w:r w:rsidDel="00000000" w:rsidR="00000000" w:rsidRPr="00000000">
        <w:rPr>
          <w:rFonts w:ascii="Times New Roman" w:cs="Times New Roman" w:eastAsia="Times New Roman" w:hAnsi="Times New Roman"/>
          <w:sz w:val="28"/>
          <w:szCs w:val="28"/>
          <w:highlight w:val="white"/>
          <w:rtl w:val="0"/>
        </w:rPr>
        <w:t xml:space="preserve"> (los dos últimos en coautoría con Noam Chomsky). </w:t>
      </w:r>
      <w:r w:rsidDel="00000000" w:rsidR="00000000" w:rsidRPr="00000000">
        <w:rPr>
          <w:rFonts w:ascii="Times New Roman" w:cs="Times New Roman" w:eastAsia="Times New Roman" w:hAnsi="Times New Roman"/>
          <w:sz w:val="28"/>
          <w:szCs w:val="28"/>
          <w:rtl w:val="0"/>
        </w:rPr>
        <w:t xml:space="preserve">Chelwa y Prashad publicarán </w:t>
      </w:r>
      <w:r w:rsidDel="00000000" w:rsidR="00000000" w:rsidRPr="00000000">
        <w:rPr>
          <w:rFonts w:ascii="Times New Roman" w:cs="Times New Roman" w:eastAsia="Times New Roman" w:hAnsi="Times New Roman"/>
          <w:i w:val="1"/>
          <w:iCs w:val="1"/>
          <w:sz w:val="28"/>
          <w:szCs w:val="28"/>
          <w:rtl w:val="0"/>
        </w:rPr>
        <w:t xml:space="preserve">How the International Monetary Fund is Suffocating Africa</w:t>
      </w:r>
      <w:r w:rsidDel="00000000" w:rsidR="00000000" w:rsidRPr="00000000">
        <w:rPr>
          <w:rFonts w:ascii="Times New Roman" w:cs="Times New Roman" w:eastAsia="Times New Roman" w:hAnsi="Times New Roman"/>
          <w:sz w:val="28"/>
          <w:szCs w:val="28"/>
          <w:rtl w:val="0"/>
        </w:rPr>
        <w:t xml:space="preserve"> a finales de este año con</w:t>
      </w:r>
      <w:hyperlink r:id="rId15">
        <w:r w:rsidDel="00000000" w:rsidR="00000000" w:rsidRPr="00000000">
          <w:rPr>
            <w:rFonts w:ascii="Times New Roman" w:cs="Times New Roman" w:eastAsia="Times New Roman" w:hAnsi="Times New Roman"/>
            <w:sz w:val="28"/>
            <w:szCs w:val="28"/>
            <w:rtl w:val="0"/>
          </w:rPr>
          <w:t xml:space="preserve"> </w:t>
        </w:r>
      </w:hyperlink>
      <w:hyperlink r:id="rId16">
        <w:r w:rsidDel="00000000" w:rsidR="00000000" w:rsidRPr="00000000">
          <w:rPr>
            <w:rFonts w:ascii="Times New Roman" w:cs="Times New Roman" w:eastAsia="Times New Roman" w:hAnsi="Times New Roman"/>
            <w:color w:val="1155cc"/>
            <w:sz w:val="28"/>
            <w:szCs w:val="28"/>
            <w:u w:val="single"/>
            <w:rtl w:val="0"/>
          </w:rPr>
          <w:t xml:space="preserve">Inkani Books</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4">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Fuente:</w:t>
      </w:r>
      <w:r w:rsidDel="00000000" w:rsidR="00000000" w:rsidRPr="00000000">
        <w:rPr>
          <w:rFonts w:ascii="Times New Roman" w:cs="Times New Roman" w:eastAsia="Times New Roman" w:hAnsi="Times New Roman"/>
          <w:sz w:val="28"/>
          <w:szCs w:val="28"/>
          <w:rtl w:val="0"/>
        </w:rPr>
        <w:t xml:space="preserve"> Globetrotter</w:t>
      </w:r>
    </w:p>
    <w:p w:rsidR="00000000" w:rsidDel="00000000" w:rsidP="00000000" w:rsidRDefault="00000000" w:rsidRPr="00000000" w14:paraId="00000005">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Etiquetas:</w:t>
      </w:r>
      <w:r w:rsidDel="00000000" w:rsidR="00000000" w:rsidRPr="00000000">
        <w:rPr>
          <w:rFonts w:ascii="Times New Roman" w:cs="Times New Roman" w:eastAsia="Times New Roman" w:hAnsi="Times New Roman"/>
          <w:sz w:val="28"/>
          <w:szCs w:val="28"/>
          <w:rtl w:val="0"/>
        </w:rPr>
        <w:t xml:space="preserve"> Asia Occidental/Irán, América del Norte/Estados Unidos de América; Imperialismo, Política, Noticias</w:t>
      </w:r>
    </w:p>
    <w:p w:rsidR="00000000" w:rsidDel="00000000" w:rsidP="00000000" w:rsidRDefault="00000000" w:rsidRPr="00000000" w14:paraId="00000006">
      <w:pPr>
        <w:spacing w:after="240" w:befor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[Cuerpo del artículo]</w:t>
      </w:r>
    </w:p>
    <w:p w:rsidR="00000000" w:rsidDel="00000000" w:rsidP="00000000" w:rsidRDefault="00000000" w:rsidRPr="00000000" w14:paraId="00000007">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Irán está sumido en el caos. En todo el país se han producido protestas de diferente magnitud, con un aumento de la violencia que ha llevado a manifestantes y policías a la morgue. Lo que comenzó como paros laborales y protestas contra la inflación reunió a una serie de descontentos, con mujeres y jóvenes frustrados por un sistema incapaz de garantizar su sustento. Irán ha estado sometido a un prolongado asedio económico y ha sido atacado directamente por Israel y los Estados Unidos, no solo dentro de sus fronteras, sino en toda Asia Occidental (incluidos sus enclaves diplomáticos en Siria). Esta guerra económica librada por los Estados Unidos ha creado las condiciones para esta agitación, pero la agitación en sí no está dirigida a Washington, sino al gobierno de Teherán.</w:t>
      </w:r>
    </w:p>
    <w:p w:rsidR="00000000" w:rsidDel="00000000" w:rsidP="00000000" w:rsidRDefault="00000000" w:rsidRPr="00000000" w14:paraId="00000008">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Hay informes, como el publicado en octubre de 2025 en el periódico israelí </w:t>
      </w:r>
      <w:r w:rsidDel="00000000" w:rsidR="00000000" w:rsidRPr="00000000">
        <w:rPr>
          <w:rFonts w:ascii="Times New Roman" w:cs="Times New Roman" w:eastAsia="Times New Roman" w:hAnsi="Times New Roman"/>
          <w:i w:val="1"/>
          <w:iCs w:val="1"/>
          <w:sz w:val="28"/>
          <w:szCs w:val="28"/>
          <w:rtl w:val="0"/>
        </w:rPr>
        <w:t xml:space="preserve">Ha'aretz</w:t>
      </w:r>
      <w:r w:rsidDel="00000000" w:rsidR="00000000" w:rsidRPr="00000000">
        <w:rPr>
          <w:rFonts w:ascii="Times New Roman" w:cs="Times New Roman" w:eastAsia="Times New Roman" w:hAnsi="Times New Roman"/>
          <w:sz w:val="28"/>
          <w:szCs w:val="28"/>
          <w:rtl w:val="0"/>
        </w:rPr>
        <w:t xml:space="preserve"> </w:t>
      </w:r>
      <w:hyperlink r:id="rId17">
        <w:r w:rsidDel="00000000" w:rsidR="00000000" w:rsidRPr="00000000">
          <w:rPr>
            <w:rFonts w:ascii="Times New Roman" w:cs="Times New Roman" w:eastAsia="Times New Roman" w:hAnsi="Times New Roman"/>
            <w:color w:val="1155cc"/>
            <w:sz w:val="28"/>
            <w:szCs w:val="28"/>
            <w:u w:val="single"/>
            <w:rtl w:val="0"/>
          </w:rPr>
          <w:t xml:space="preserve">sobre</w:t>
        </w:r>
      </w:hyperlink>
      <w:r w:rsidDel="00000000" w:rsidR="00000000" w:rsidRPr="00000000">
        <w:rPr>
          <w:rFonts w:ascii="Times New Roman" w:cs="Times New Roman" w:eastAsia="Times New Roman" w:hAnsi="Times New Roman"/>
          <w:sz w:val="28"/>
          <w:szCs w:val="28"/>
          <w:rtl w:val="0"/>
        </w:rPr>
        <w:t xml:space="preserve"> las</w:t>
      </w:r>
      <w:r w:rsidDel="00000000" w:rsidR="00000000" w:rsidRPr="00000000">
        <w:rPr>
          <w:rFonts w:ascii="Times New Roman" w:cs="Times New Roman" w:eastAsia="Times New Roman" w:hAnsi="Times New Roman"/>
          <w:sz w:val="28"/>
          <w:szCs w:val="28"/>
          <w:rtl w:val="0"/>
        </w:rPr>
        <w:t xml:space="preserve"> “operaciones de influencia israelíes destinadas a instalar a Reza Pahlavi como sha de Irán”, que indican que los servicios de inteligencia israelíes tienen un papel en las protestas, y los Estados Unidos ha</w:t>
      </w:r>
      <w:hyperlink r:id="rId18">
        <w:r w:rsidDel="00000000" w:rsidR="00000000" w:rsidRPr="00000000">
          <w:rPr>
            <w:rFonts w:ascii="Times New Roman" w:cs="Times New Roman" w:eastAsia="Times New Roman" w:hAnsi="Times New Roman"/>
            <w:sz w:val="28"/>
            <w:szCs w:val="28"/>
            <w:rtl w:val="0"/>
          </w:rPr>
          <w:t xml:space="preserve"> </w:t>
        </w:r>
      </w:hyperlink>
      <w:hyperlink r:id="rId19">
        <w:r w:rsidDel="00000000" w:rsidR="00000000" w:rsidRPr="00000000">
          <w:rPr>
            <w:rFonts w:ascii="Times New Roman" w:cs="Times New Roman" w:eastAsia="Times New Roman" w:hAnsi="Times New Roman"/>
            <w:color w:val="1155cc"/>
            <w:sz w:val="28"/>
            <w:szCs w:val="28"/>
            <w:u w:val="single"/>
            <w:rtl w:val="0"/>
          </w:rPr>
          <w:t xml:space="preserve">dicho abiertamente</w:t>
        </w:r>
      </w:hyperlink>
      <w:r w:rsidDel="00000000" w:rsidR="00000000" w:rsidRPr="00000000">
        <w:rPr>
          <w:rFonts w:ascii="Times New Roman" w:cs="Times New Roman" w:eastAsia="Times New Roman" w:hAnsi="Times New Roman"/>
          <w:sz w:val="28"/>
          <w:szCs w:val="28"/>
          <w:rtl w:val="0"/>
        </w:rPr>
        <w:t xml:space="preserve"> a los manifestantes que bombardeará Teherán si aumenta la violencia del Gobierno. El año pasado se produjeron protestas en doce refinerías de petróleo de South Pars, donde cinco mil trabajadores contratados del Sindicato de Trabajadores de la Refinería de Gas de Bushehr marcharon con sus familias el 9 de diciembre en Asaluyeh para exigir salarios más altos y mejores condiciones de trabajo. Cuando los trabajadores llevaron su lucha al Parlamento Nacional en Teherán, donde pidieron el fin del sistema de trabajo por contrato, los israelíes y los Estados Unidos aprovecharon estas sinceras protestas para intentar transformar una lucha legítima en una posible operación de cambio de régimen.</w:t>
      </w:r>
    </w:p>
    <w:p w:rsidR="00000000" w:rsidDel="00000000" w:rsidP="00000000" w:rsidRDefault="00000000" w:rsidRPr="00000000" w14:paraId="00000009">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Para entender lo que está sucediendo, aquí hay seis puntos de importancia histórica que se ofrecen con ánimo de debate. Desde 1979, Irán ha desempeñado un papel muy importante en el movimiento más allá de las monarquías en el mundo árabe y musulmán, y ha sido un importante defensor de la lucha palestina. Irán no es ajeno a la injerencia extranjera, que se remonta al control británico del petróleo iraní desde 1901, la Convención Anglo-Rusa de 1907 que dividió Irán en esferas de influencia, el golpe de Estado de 1921 que puso a Reza Khan en el trono, el golpe de Estado de 1953 que instaló a su hijo, Mohammed Reza Shah Pahlavi, en el trono, y luego la guerra híbrida contra la Revolución Iraní desde 1979 hasta el presente. Aquí están los seis puntos:</w:t>
      </w:r>
    </w:p>
    <w:p w:rsidR="00000000" w:rsidDel="00000000" w:rsidP="00000000" w:rsidRDefault="00000000" w:rsidRPr="00000000" w14:paraId="0000000A">
      <w:pPr>
        <w:numPr>
          <w:ilvl w:val="0"/>
          <w:numId w:val="1"/>
        </w:numPr>
        <w:spacing w:after="0" w:afterAutospacing="0" w:before="24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Revolución Iraní de 1978-79 derrocó el régimen del Sha de Irán Reza Pahlavi y, debido a la fuerza del clero religioso y sus formaciones políticas, dio lugar a la creación de la República Islámica en abril de 1979, entrando en vigor la Constitución de la República Islámica en diciembre de 1979. Las otras corrientes de la revolución (desde la izquierda comunista hasta los liberales) se vieron en gran medida marginadas e incluso, en algunos casos, reprimidas. Las protestas de marzo de 1979 con motivo del Día Internacional de la Mujer en Teherán se produjeron a raíz de las restricciones de los derechos de las mujeres (en particular contra la política del hiyab obligatorio), lo que obligó al gobierno a aceptar las demandas de las protestas, pero se trató de una victoria a corto plazo, ya que en 1983 se aprobó una ley que imponía el uso obligatorio del hiyab.</w:t>
      </w:r>
    </w:p>
    <w:p w:rsidR="00000000" w:rsidDel="00000000" w:rsidP="00000000" w:rsidRDefault="00000000" w:rsidRPr="00000000" w14:paraId="0000000B">
      <w:pPr>
        <w:numPr>
          <w:ilvl w:val="0"/>
          <w:numId w:val="1"/>
        </w:numPr>
        <w:spacing w:after="0" w:afterAutospacing="0" w:before="0" w:beforeAutospacing="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revolución siguió al golpe militar de Zia ul-Haq en Pakistán en 1977, la Revolución de Saur en Afganistán (agosto de 1978) la creación del Partido Socialista Yemení (octubre de 1978), que llevó a la República Democrática Popular del Yemen a la esfera soviética y provocó la guerra entre el norte y el sur del Yemen (febrero-marzo de 1979), y la toma del poder por parte de Saddam Hussein en Irak en julio de 1979, lo que provocó una serie de cambios políticos en toda la región del suroeste y centro de Asia. Algunos de estos acontecimientos (Pakistán, Irak) ofrecían ventajas a Estados Unidos, mientras que otros (Afganistán, Irán, Yemen) iban en contra de sus objetivos en la región. Muy rápidamente, Estados Unidos intentó aprovechar sus ventajas tratando de derrocar a la República Islámica de Irán, la República Democrática Popular del Yemen y la República Democrática de Afganistán.</w:t>
      </w:r>
    </w:p>
    <w:p w:rsidR="00000000" w:rsidDel="00000000" w:rsidP="00000000" w:rsidRDefault="00000000" w:rsidRPr="00000000" w14:paraId="0000000C">
      <w:pPr>
        <w:numPr>
          <w:ilvl w:val="0"/>
          <w:numId w:val="1"/>
        </w:numPr>
        <w:spacing w:after="0" w:afterAutospacing="0" w:before="0" w:beforeAutospacing="0" w:lineRule="auto"/>
        <w:ind w:left="72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presión de los Estados Unidos sobre estos procesos condujo a una situación de guerra en los tres países: Estados Unidos y sus aliados del Golfo instaron a Irak a invadir Irán sin provocación alguna en septiembre de 1980, iniciando una guerra que duró hasta 1988; los Estados árabes del Golfo instaron a Yemen del Norte a invadir Yemen del Sur tras el asesinato de Salim Rubaya Ali (un maoísta que estaba negociando la fusión de los dos Yemén); por último, en Afganistán, Estados Unidos comenzó a financiar a los </w:t>
      </w:r>
      <w:r w:rsidDel="00000000" w:rsidR="00000000" w:rsidRPr="00000000">
        <w:rPr>
          <w:rFonts w:ascii="Times New Roman" w:cs="Times New Roman" w:eastAsia="Times New Roman" w:hAnsi="Times New Roman"/>
          <w:i w:val="1"/>
          <w:iCs w:val="1"/>
          <w:sz w:val="28"/>
          <w:szCs w:val="28"/>
          <w:rtl w:val="0"/>
        </w:rPr>
        <w:t xml:space="preserve">muyahidines</w:t>
      </w:r>
      <w:r w:rsidDel="00000000" w:rsidR="00000000" w:rsidRPr="00000000">
        <w:rPr>
          <w:rFonts w:ascii="Times New Roman" w:cs="Times New Roman" w:eastAsia="Times New Roman" w:hAnsi="Times New Roman"/>
          <w:sz w:val="28"/>
          <w:szCs w:val="28"/>
          <w:rtl w:val="0"/>
        </w:rPr>
        <w:t xml:space="preserve"> para que iniciaran una campaña de asesinatos contra los cuadros del Partido Democrático Popular de Afganistán. Irán, Afganistán y Yemen vieron cómo sus proyectos sociales se veían mermados por los ataques que sufrían desde el exterior. Afganistán se sumió en más de cuarenta años de terrible violencia y guerra, a pesar de que la República Democrática de Afganistán se mantuvo en pie durante dieciocho años; el gobierno marxista del Yemén del Sur se mantuvo hasta 1990, pero era una pálida sombra de sus propias expectativas; Irán, por su parte, vio cómo su República Islámica sobrevivía a una dura política de sanciones tras el fin de la guerra con Irak (en 1988).</w:t>
      </w:r>
    </w:p>
    <w:p w:rsidR="00000000" w:rsidDel="00000000" w:rsidP="00000000" w:rsidRDefault="00000000" w:rsidRPr="00000000" w14:paraId="0000000D">
      <w:pPr>
        <w:numPr>
          <w:ilvl w:val="0"/>
          <w:numId w:val="1"/>
        </w:numPr>
        <w:spacing w:after="240" w:before="0" w:beforeAutospacing="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La República Islámica se enfrentó a varios retos importantes y consecutivos:</w:t>
      </w:r>
    </w:p>
    <w:p w:rsidR="00000000" w:rsidDel="00000000" w:rsidP="00000000" w:rsidRDefault="00000000" w:rsidRPr="00000000" w14:paraId="0000000E">
      <w:pPr>
        <w:spacing w:after="240" w:before="240" w:lineRule="auto"/>
        <w:ind w:left="144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El más importante provino del </w:t>
      </w:r>
      <w:r w:rsidDel="00000000" w:rsidR="00000000" w:rsidRPr="00000000">
        <w:rPr>
          <w:rFonts w:ascii="Times New Roman" w:cs="Times New Roman" w:eastAsia="Times New Roman" w:hAnsi="Times New Roman"/>
          <w:b w:val="1"/>
          <w:bCs w:val="1"/>
          <w:sz w:val="28"/>
          <w:szCs w:val="28"/>
          <w:rtl w:val="0"/>
        </w:rPr>
        <w:t xml:space="preserve">imperialismo estadounidense</w:t>
      </w:r>
      <w:r w:rsidDel="00000000" w:rsidR="00000000" w:rsidRPr="00000000">
        <w:rPr>
          <w:rFonts w:ascii="Times New Roman" w:cs="Times New Roman" w:eastAsia="Times New Roman" w:hAnsi="Times New Roman"/>
          <w:sz w:val="28"/>
          <w:szCs w:val="28"/>
          <w:rtl w:val="0"/>
        </w:rPr>
        <w:t xml:space="preserve">, que no solo impulsó plenamente la guerra de Irak, sino que apoyó las iniciativas de las antiguas élites iraníes para restaurar su dominio y respaldó los intentos israelíes de socavar la República Islámica (incluidos ataques directos contra Irán, operaciones de sabotaje y asesinatos de figuras clave de las profesiones científicas y militares). Son Estados Unidos e Israel quienes han intentado sistemáticamente erosionar el poder de Irán en la región con el asesinato del general Qassem Soleimani en 2020, el duro ataque contra Hezbolá durante el genocidio israelí y el asesinato de Syed Hassan Nasrallah en 2024, y el derrocamiento del gobierno de Siria en diciembre de 2024 con la instalación del antiguo jefe de Al Qaeda como presidente en Damasco.</w:t>
      </w:r>
    </w:p>
    <w:p w:rsidR="00000000" w:rsidDel="00000000" w:rsidP="00000000" w:rsidRDefault="00000000" w:rsidRPr="00000000" w14:paraId="0000000F">
      <w:pPr>
        <w:spacing w:after="240" w:before="240" w:lineRule="auto"/>
        <w:ind w:left="144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Las </w:t>
      </w:r>
      <w:r w:rsidDel="00000000" w:rsidR="00000000" w:rsidRPr="00000000">
        <w:rPr>
          <w:rFonts w:ascii="Times New Roman" w:cs="Times New Roman" w:eastAsia="Times New Roman" w:hAnsi="Times New Roman"/>
          <w:b w:val="1"/>
          <w:bCs w:val="1"/>
          <w:sz w:val="28"/>
          <w:szCs w:val="28"/>
          <w:rtl w:val="0"/>
        </w:rPr>
        <w:t xml:space="preserve">antiguas élites iraníes</w:t>
      </w:r>
      <w:r w:rsidDel="00000000" w:rsidR="00000000" w:rsidRPr="00000000">
        <w:rPr>
          <w:rFonts w:ascii="Times New Roman" w:cs="Times New Roman" w:eastAsia="Times New Roman" w:hAnsi="Times New Roman"/>
          <w:sz w:val="28"/>
          <w:szCs w:val="28"/>
          <w:rtl w:val="0"/>
        </w:rPr>
        <w:t xml:space="preserve">, lideradas primero por el Sha hasta su muerte en 1980 y luego por su hijo, el llamado príncipe heredero Reza Pahlavi, se unieron a los europeos y a los Estados Unidos para restaurar su dominio. Es importante saber que, aunque el Sha ocupó el Trono del Pavo Real desde 1941, se vio obligado a aceptar un gobierno democrático entre 1951 y 1953, que fue derrocado por los servicios de inteligencia occidentales, y luego se animó al Sha a ejercer un dominio absoluto desde 1953 hasta la revolución de 1978-79. El bloque del Sha ha querido constantemente volver al poder en Irán. Aunque el Movimiento Verde de 2009 tenía un elemento monárquico muy pequeño, representaba a las clases dominantes que querían reformas políticas contra la presidencia más plebeya de Mahmud Ahmadineyad. Es revelador que Estados Unidos haya “elegido” al hijo del Sha, que vive en Los Ángeles, como figura de este levantamiento.</w:t>
      </w:r>
    </w:p>
    <w:p w:rsidR="00000000" w:rsidDel="00000000" w:rsidP="00000000" w:rsidRDefault="00000000" w:rsidRPr="00000000" w14:paraId="00000010">
      <w:pPr>
        <w:spacing w:after="240" w:before="240" w:lineRule="auto"/>
        <w:ind w:left="1440"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Las limitaciones de la </w:t>
      </w:r>
      <w:r w:rsidDel="00000000" w:rsidR="00000000" w:rsidRPr="00000000">
        <w:rPr>
          <w:rFonts w:ascii="Times New Roman" w:cs="Times New Roman" w:eastAsia="Times New Roman" w:hAnsi="Times New Roman"/>
          <w:b w:val="1"/>
          <w:bCs w:val="1"/>
          <w:sz w:val="28"/>
          <w:szCs w:val="28"/>
          <w:rtl w:val="0"/>
        </w:rPr>
        <w:t xml:space="preserve">agenda social transformadora </w:t>
      </w:r>
      <w:r w:rsidDel="00000000" w:rsidR="00000000" w:rsidRPr="00000000">
        <w:rPr>
          <w:rFonts w:ascii="Times New Roman" w:cs="Times New Roman" w:eastAsia="Times New Roman" w:hAnsi="Times New Roman"/>
          <w:sz w:val="28"/>
          <w:szCs w:val="28"/>
          <w:rtl w:val="0"/>
        </w:rPr>
        <w:t xml:space="preserve">de la república estaban presentes, ya que toleraba a sectores de la antigua élite, permitiéndoles conservar sus propiedades y, por lo tanto, permitiendo la formación de un sistema de clases estratificado que beneficiaba a sectores de estos propietarios </w:t>
      </w:r>
      <w:r w:rsidDel="00000000" w:rsidR="00000000" w:rsidRPr="00000000">
        <w:rPr>
          <w:rFonts w:ascii="Times New Roman" w:cs="Times New Roman" w:eastAsia="Times New Roman" w:hAnsi="Times New Roman"/>
          <w:sz w:val="28"/>
          <w:szCs w:val="28"/>
          <w:rtl w:val="0"/>
        </w:rPr>
        <w:t xml:space="preserve">y a</w:t>
      </w:r>
      <w:r w:rsidDel="00000000" w:rsidR="00000000" w:rsidRPr="00000000">
        <w:rPr>
          <w:rFonts w:ascii="Times New Roman" w:cs="Times New Roman" w:eastAsia="Times New Roman" w:hAnsi="Times New Roman"/>
          <w:sz w:val="28"/>
          <w:szCs w:val="28"/>
          <w:rtl w:val="0"/>
        </w:rPr>
        <w:t xml:space="preserve"> una clase media emergente. Tras la muerte del ayatolá Ruhollah Jomeini en junio de 1989 y el fin de la guerra entre Irán e Irak, el Gobierno adoptó gran parte de las políticas de ajuste estructural del Fondo Monetario Internacional, que, de una forma u otra, se mantuvieron durante décadas (la política fue impulsada por Mohsen Nourbaksh, que fue ministro de Economía de 1989 a 1994 y luego director del Banco Central de 1994 a 2003). En 1979, la economía no estaba organizada según principios socialistas, pero había construido un papel importante para el Estado y la planificación pública debido a las necesidades de la economía de guerra y al compromiso con el bienestar social islámico. Nourbaksh no pudo desmantelar totalmente el Estado, pero llevó a cabo una reforma monetaria y bancaria, además de integrar cautelosamente a Irán en la economía mundial. La divergencia de clases y las dificultades de vida de la mayoría de los iraníes aumentaron debido al impacto combinado del régimen de sanciones de Estados Unidos y Europa, las amenazas militares de Estados Unidos e Israel (que han llevado a un elevado gasto militar en Irán, que, aunque sigue siendo de alrededor del 2,5% del PIB, es muy inferior al 12% del PIB durante el reinado del Sha) y las políticas neoliberales aplicadas por los ministros de Finanzas del Gobierno, cada vez más neoliberales (como Ali Tayebnia de 2013 a 2017 y Ali Madanizadeh de 2025). Ha sido esta limitación de la República Islámica la que ha provocado ciclos de protestas económicas: 2017-2018 (en torno a la inflación y los recortes de subsidios), 2019 (en torno al aumento del precio del combustible), 2025 (por parte de los panaderos) y 2025-26 (por la inflación galopante y el colapso del </w:t>
      </w:r>
      <w:r w:rsidDel="00000000" w:rsidR="00000000" w:rsidRPr="00000000">
        <w:rPr>
          <w:rFonts w:ascii="Times New Roman" w:cs="Times New Roman" w:eastAsia="Times New Roman" w:hAnsi="Times New Roman"/>
          <w:i w:val="1"/>
          <w:iCs w:val="1"/>
          <w:sz w:val="28"/>
          <w:szCs w:val="28"/>
          <w:rtl w:val="0"/>
        </w:rPr>
        <w:t xml:space="preserve">rial</w:t>
      </w:r>
      <w:r w:rsidDel="00000000" w:rsidR="00000000" w:rsidRPr="00000000">
        <w:rPr>
          <w:rFonts w:ascii="Times New Roman" w:cs="Times New Roman" w:eastAsia="Times New Roman" w:hAnsi="Times New Roman"/>
          <w:sz w:val="28"/>
          <w:szCs w:val="28"/>
          <w:rtl w:val="0"/>
        </w:rPr>
        <w:t xml:space="preserve"> iraní).</w:t>
      </w:r>
    </w:p>
    <w:p w:rsidR="00000000" w:rsidDel="00000000" w:rsidP="00000000" w:rsidRDefault="00000000" w:rsidRPr="00000000" w14:paraId="00000011">
      <w:pPr>
        <w:numPr>
          <w:ilvl w:val="0"/>
          <w:numId w:val="1"/>
        </w:numPr>
        <w:spacing w:after="240" w:before="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Si bien las protestas actuales están impulsadas en gran medida por un tipo de cambio récord del rial frente al dólar estadounidense y una tasa de inflación de los alimentos del 60%, la transición de las huelgas laborales en South Pars a la violencia urbana coordinada apunta a un nivel de intervención más profundo. La administración ha favorecido a sectores del sector de la importación y exportación, que ha funcionado en el contexto de las sanciones, para ayudar a los exportadores de materias primas a expensas de los importadores, una situación que no es fácil de corregir. Sin embargo, la abrupta caída de la moneda, de entre el 30% y el 40%, es un clásico indicio de manipulación financiera externa. Por lo tanto, lo que comenzó como una protesta de empresarios contra el Banco Central sin interferencias, pronto se transformó en un violento ataque vertical contra el tejido estatal. Las «protestas» pasaron de la noche a la mañana de ser concentraciones pacíficas a sabotajes urbanos de alta intensidad que provocaron la muerte de aproximadamente 100 agentes del orden, con denuncias de que algunos agentes fueron quemados vivos, un miembro de la seguridad fue decapitado y una clínica médica fue incendiada, lo que le costó la vida a una enfermera, por ejemplo. El uso de armas pequeñas a corta distancia contra civiles sugiere además un intento de maximizar la tensión interna y proporcionar un pretexto para la intervención extranjera. La orquestación geopolítica detrás del caos se hizo innegable cuando el Departamento de Estado de los Estados Unidos y el Mossad aplaudieron abiertamente la violencia en tiempo real. Una vez que las autoridades desactivaron el acceso a Internet, las protestas perdieron fuerza de manera significativa, lo que pone en duda la espontaneidad del movimiento y da veracidad a la tesis de que existe una estrategia de desestabilización en marcha, que busca beneficiarse de la coyuntura internacional actual.</w:t>
      </w:r>
    </w:p>
    <w:p w:rsidR="00000000" w:rsidDel="00000000" w:rsidP="00000000" w:rsidRDefault="00000000" w:rsidRPr="00000000" w14:paraId="00000012">
      <w:pPr>
        <w:numPr>
          <w:ilvl w:val="0"/>
          <w:numId w:val="1"/>
        </w:numPr>
        <w:spacing w:after="240" w:before="0" w:lineRule="auto"/>
        <w:ind w:left="720" w:hanging="360"/>
        <w:rPr>
          <w:rFonts w:ascii="Times New Roman" w:cs="Times New Roman" w:eastAsia="Times New Roman" w:hAnsi="Times New Roman"/>
          <w:sz w:val="28"/>
          <w:szCs w:val="28"/>
          <w:u w:val="none"/>
        </w:rPr>
      </w:pPr>
      <w:r w:rsidDel="00000000" w:rsidR="00000000" w:rsidRPr="00000000">
        <w:rPr>
          <w:rFonts w:ascii="Times New Roman" w:cs="Times New Roman" w:eastAsia="Times New Roman" w:hAnsi="Times New Roman"/>
          <w:sz w:val="28"/>
          <w:szCs w:val="28"/>
          <w:rtl w:val="0"/>
        </w:rPr>
        <w:t xml:space="preserve">La oposición ha salido a las calles, pero reconoce que no tiene la fuerza necesaria para tomar el poder. Hay informes de injerencia estadounidense e israelí, y no ayuda a la oposición que el hijo del Sha se haya atribuido el mérito de las protestas y se considere a sí mismo su beneficiario. Con Trump al frente del hiperimperialismo e Israel en medio de un período de lo que considera victorias interminables, es imposible saber qué harán estas peligrosas camarillas. A medida que las movilizaciones pierdan fuerza, lo que sucederá, los Estados Unidos e Israel podrían aprovechar la situación para atacar Teherán y otras ciudades con más fuerza que en junio de 2025. Esto debería ser motivo de preocupación no solo para el pueblo iraní, cuya gran mayoría no desea un ataque a su país, sino también para los pueblos del Sur Global, que se convertirán en el próximo objetivo después de Venezuela e Irán.</w:t>
      </w:r>
    </w:p>
    <w:p w:rsidR="00000000" w:rsidDel="00000000" w:rsidP="00000000" w:rsidRDefault="00000000" w:rsidRPr="00000000" w14:paraId="00000013">
      <w:pPr>
        <w:spacing w:after="240" w:befor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La población se enfrenta a problemas reales, pero estos no se resolverán con un bombardeo aéreo hiperimperialista por parte de Estados Unidos e Israel. Los iraníes tendrán que resolver sus propios problemas. El régimen de sanciones y las amenazas de violencia no contribuyen en nada a que eso suceda. Es fácil decir “solidaridad con los iraníes” en Occidente, donde se golpea e incluso se mata a los manifestantes por su apoyo a los palestinos y su indignación por las políticas antiinmigración; parece mucho más difícil decir “acaben con las sanciones” y, por lo tanto, permitan al pueblo iraní respirar hacia su propio futuro.</w:t>
      </w:r>
    </w:p>
    <w:p w:rsidR="00000000" w:rsidDel="00000000" w:rsidP="00000000" w:rsidRDefault="00000000" w:rsidRPr="00000000" w14:paraId="00000014">
      <w:pPr>
        <w:rPr>
          <w:rFonts w:ascii="Times New Roman" w:cs="Times New Roman" w:eastAsia="Times New Roman" w:hAnsi="Times New Roman"/>
          <w:sz w:val="28"/>
          <w:szCs w:val="28"/>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versobooks.com/products/2292-the-poorer-nations" TargetMode="External"/><Relationship Id="rId10" Type="http://schemas.openxmlformats.org/officeDocument/2006/relationships/hyperlink" Target="https://thenewpress.com/books/darker-nations" TargetMode="External"/><Relationship Id="rId13" Type="http://schemas.openxmlformats.org/officeDocument/2006/relationships/hyperlink" Target="https://capitanswing.com/libros/la-retirada/" TargetMode="External"/><Relationship Id="rId12" Type="http://schemas.openxmlformats.org/officeDocument/2006/relationships/hyperlink" Target="https://www.haymarketbooks.org/books/1869-struggle-makes-us-huma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hetricontinental.org/es/" TargetMode="External"/><Relationship Id="rId15" Type="http://schemas.openxmlformats.org/officeDocument/2006/relationships/hyperlink" Target="https://inkanibooks.co.za/" TargetMode="External"/><Relationship Id="rId14" Type="http://schemas.openxmlformats.org/officeDocument/2006/relationships/hyperlink" Target="https://capitanswing.com/libros/sobre-cuba/" TargetMode="External"/><Relationship Id="rId17" Type="http://schemas.openxmlformats.org/officeDocument/2006/relationships/hyperlink" Target="https://www.haaretz.com/israel-news/security-aviation/2025-10-03/ty-article-magazine/.premium/the-israeli-influence-operation-in-iran-pushing-to-reinstate-the-shah-monarchy/00000199-9f12-df33-a5dd-9f770d7a0000" TargetMode="External"/><Relationship Id="rId16" Type="http://schemas.openxmlformats.org/officeDocument/2006/relationships/hyperlink" Target="https://inkanibooks.co.za/" TargetMode="External"/><Relationship Id="rId5" Type="http://schemas.openxmlformats.org/officeDocument/2006/relationships/styles" Target="styles.xml"/><Relationship Id="rId19" Type="http://schemas.openxmlformats.org/officeDocument/2006/relationships/hyperlink" Target="https://www.nytimes.com/2026/01/10/us/politics/trump-iran-strikes.html" TargetMode="External"/><Relationship Id="rId6" Type="http://schemas.openxmlformats.org/officeDocument/2006/relationships/hyperlink" Target="https://globetrotter.media/" TargetMode="External"/><Relationship Id="rId18" Type="http://schemas.openxmlformats.org/officeDocument/2006/relationships/hyperlink" Target="https://www.nytimes.com/2026/01/10/us/politics/trump-iran-strikes.html" TargetMode="External"/><Relationship Id="rId7" Type="http://schemas.openxmlformats.org/officeDocument/2006/relationships/hyperlink" Target="https://globetrotter.media/" TargetMode="External"/><Relationship Id="rId8" Type="http://schemas.openxmlformats.org/officeDocument/2006/relationships/hyperlink" Target="https://mayday.leftwo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