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Crónica de un golpe anunciado: el ataque a Venezuela y el cuento de hadas del narcoterrorismo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Daniela Ortiz y Gisela Cernadas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Daniela Ortiz y Gisela Cernadas son miembros del Colectivo No Cold War. Daniela es una artista de Perú. Gisela es economista en el Centro de Estudios de Desarrollo Económico de la Universidad Nacional de San Martín, Argentina.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y No Cold War Perspectives</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Trump, América del Sur, Justicia social, Guerra,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acontecimientos actuales en Venezuela pueden parecer incomprensibles, hasta que uno recuerda la larga historia de injerencia imperialista en América Latina y el Caribe. Los acontecimientos de la primera semana de enero constituyen una escalada de una campaña de larga data para derrocar la Revolución Bolivariana y retomar el control del país con las mayores</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reservas de petróleo</w:t>
        </w:r>
      </w:hyperlink>
      <w:r w:rsidDel="00000000" w:rsidR="00000000" w:rsidRPr="00000000">
        <w:rPr>
          <w:rFonts w:ascii="Times New Roman" w:cs="Times New Roman" w:eastAsia="Times New Roman" w:hAnsi="Times New Roman"/>
          <w:sz w:val="28"/>
          <w:szCs w:val="28"/>
          <w:rtl w:val="0"/>
        </w:rPr>
        <w:t xml:space="preserve"> conocidas del mundo. El nuevo orden mundial y el fortalecimiento de las organizaciones internacionales no alineadas con los intereses de los Estados Unidos empujan a este país a aumentar la presión sobre la región latinoamericana.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América Latina y el Caribe están profundamente marcados por el imperialismo estadounidense. En los 200 años transcurridos desde la Doctrina Monroe (1823), el ejército estadounidense ha</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llevado a cabo</w:t>
        </w:r>
      </w:hyperlink>
      <w:r w:rsidDel="00000000" w:rsidR="00000000" w:rsidRPr="00000000">
        <w:rPr>
          <w:rFonts w:ascii="Times New Roman" w:cs="Times New Roman" w:eastAsia="Times New Roman" w:hAnsi="Times New Roman"/>
          <w:sz w:val="28"/>
          <w:szCs w:val="28"/>
          <w:rtl w:val="0"/>
        </w:rPr>
        <w:t xml:space="preserve"> más de 100 intervenciones, invasiones y golpes de Estado en América Latina y el Caribe. En la década de 1970, la CIA llevó a cabo una serie de golpes militares en toda la región para derrocar a gobiernos de izquierda e independientes. En un programa secreto conocido como Operación Cóndor, la CIA</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trabajó</w:t>
        </w:r>
      </w:hyperlink>
      <w:r w:rsidDel="00000000" w:rsidR="00000000" w:rsidRPr="00000000">
        <w:rPr>
          <w:rFonts w:ascii="Times New Roman" w:cs="Times New Roman" w:eastAsia="Times New Roman" w:hAnsi="Times New Roman"/>
          <w:sz w:val="28"/>
          <w:szCs w:val="28"/>
          <w:rtl w:val="0"/>
        </w:rPr>
        <w:t xml:space="preserve"> en</w:t>
      </w:r>
      <w:r w:rsidDel="00000000" w:rsidR="00000000" w:rsidRPr="00000000">
        <w:rPr>
          <w:rFonts w:ascii="Times New Roman" w:cs="Times New Roman" w:eastAsia="Times New Roman" w:hAnsi="Times New Roman"/>
          <w:sz w:val="28"/>
          <w:szCs w:val="28"/>
          <w:rtl w:val="0"/>
        </w:rPr>
        <w:t xml:space="preserve"> estrecha colaboración con dictadores militares para reprimir a los activistas de izquierda y evitar el auge del comunismo entre las poblaciones locales.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políticas neoliberales aplicadas a través de los regímenes golpistas y después, y bajo la influencia del Consenso de Washington en la década de 1990, afectaron profundamente al desarrollo económico de la región. Como</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resultado</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ello, 50 millones de personas en América Latina cayeron en la pobreza entre 1970 y 1995, y la</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deuda externa se triplicó</w:t>
        </w:r>
      </w:hyperlink>
      <w:r w:rsidDel="00000000" w:rsidR="00000000" w:rsidRPr="00000000">
        <w:rPr>
          <w:rFonts w:ascii="Times New Roman" w:cs="Times New Roman" w:eastAsia="Times New Roman" w:hAnsi="Times New Roman"/>
          <w:sz w:val="28"/>
          <w:szCs w:val="28"/>
          <w:rtl w:val="0"/>
        </w:rPr>
        <w:t xml:space="preserve">, pasando de 67.310 millones de dólares (1975) a 208.760 millones (1980), de los cuales el 60% era deuda pública, lo que sofocó aún más la posibilidad de desarrollo económico y empujó a los países a la trampa de la deuda. Los efectos de la privatización y la destrucción de la estructura industrial continúan hasta el día de hoy.</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líderes populares que surgieron de las rebeliones populares contra los regímenes neoliberales y lideraron la</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Ola Progresista</w:t>
        </w:r>
      </w:hyperlink>
      <w:r w:rsidDel="00000000" w:rsidR="00000000" w:rsidRPr="00000000">
        <w:rPr>
          <w:rFonts w:ascii="Times New Roman" w:cs="Times New Roman" w:eastAsia="Times New Roman" w:hAnsi="Times New Roman"/>
          <w:sz w:val="28"/>
          <w:szCs w:val="28"/>
          <w:rtl w:val="0"/>
        </w:rPr>
        <w:t xml:space="preserve"> en la región latinoamericana a principios del siglo XXI fueron blanco de la CIA. Venezuela constituye uno de esos casos.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toma de posesión del presidente Hugo Chávez en 1999, los Estados Unidos atacó sistemáticamente a Venezuela. Tras repetidas negativas a someterse al liderazgo estadounidense, en abril de 2002, con el apoyo de un sector del ejército venezolano, los Estados Unidos llevó a cabo un</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golpe de Estado</w:t>
        </w:r>
      </w:hyperlink>
      <w:r w:rsidDel="00000000" w:rsidR="00000000" w:rsidRPr="00000000">
        <w:rPr>
          <w:rFonts w:ascii="Times New Roman" w:cs="Times New Roman" w:eastAsia="Times New Roman" w:hAnsi="Times New Roman"/>
          <w:sz w:val="28"/>
          <w:szCs w:val="28"/>
          <w:rtl w:val="0"/>
        </w:rPr>
        <w:t xml:space="preserve"> y secuestró al presidente Chávez. El pueblo venezolano salió </w:t>
      </w:r>
      <w:r w:rsidDel="00000000" w:rsidR="00000000" w:rsidRPr="00000000">
        <w:rPr>
          <w:rFonts w:ascii="Times New Roman" w:cs="Times New Roman" w:eastAsia="Times New Roman" w:hAnsi="Times New Roman"/>
          <w:i w:val="1"/>
          <w:iCs w:val="1"/>
          <w:sz w:val="28"/>
          <w:szCs w:val="28"/>
          <w:rtl w:val="0"/>
        </w:rPr>
        <w:t xml:space="preserve">en masa</w:t>
      </w:r>
      <w:r w:rsidDel="00000000" w:rsidR="00000000" w:rsidRPr="00000000">
        <w:rPr>
          <w:rFonts w:ascii="Times New Roman" w:cs="Times New Roman" w:eastAsia="Times New Roman" w:hAnsi="Times New Roman"/>
          <w:sz w:val="28"/>
          <w:szCs w:val="28"/>
          <w:rtl w:val="0"/>
        </w:rPr>
        <w:t xml:space="preserve"> a las calles y detuvo el ataque. Los acontecimientos de ese abril obligaron al imperialismo estadounidense a cambiar de estrategia y optar por una guerra híbrida prolongada destinada a debilitar el apoyo popular a la Revolución Bolivariana.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guerra híbrida contra Venezuela consiste principalmente en sanciones económicas y embargos, y la persecución de líderes populares, junto con la financiación de propaganda y organizaciones antichavistas, y el desarrollo de grupos paramilitares para crear una atmósfera de desestabilización interna. Además de los múltiples intentos de asesinato, en 2019, los Estados Unidos no reconoció los resultados electorales y</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respaldó</w:t>
        </w:r>
      </w:hyperlink>
      <w:r w:rsidDel="00000000" w:rsidR="00000000" w:rsidRPr="00000000">
        <w:rPr>
          <w:rFonts w:ascii="Times New Roman" w:cs="Times New Roman" w:eastAsia="Times New Roman" w:hAnsi="Times New Roman"/>
          <w:sz w:val="28"/>
          <w:szCs w:val="28"/>
          <w:rtl w:val="0"/>
        </w:rPr>
        <w:t xml:space="preserve"> al</w:t>
      </w:r>
      <w:r w:rsidDel="00000000" w:rsidR="00000000" w:rsidRPr="00000000">
        <w:rPr>
          <w:rFonts w:ascii="Times New Roman" w:cs="Times New Roman" w:eastAsia="Times New Roman" w:hAnsi="Times New Roman"/>
          <w:sz w:val="28"/>
          <w:szCs w:val="28"/>
          <w:rtl w:val="0"/>
        </w:rPr>
        <w:t xml:space="preserve"> candidato opositor Juan Guaidó como presidente de Venezuela. El bombardeo de Caracas y el posterior secuestro del presidente Nicolás Maduro y Cilia Flores el 3 de enero de 2026 son el golpe más reciente de una serie de ataques sistemáticos y crecientes que se extienden a lo largo de más de 20 años.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declaró abiertamente</w:t>
        </w:r>
      </w:hyperlink>
      <w:r w:rsidDel="00000000" w:rsidR="00000000" w:rsidRPr="00000000">
        <w:rPr>
          <w:rFonts w:ascii="Times New Roman" w:cs="Times New Roman" w:eastAsia="Times New Roman" w:hAnsi="Times New Roman"/>
          <w:sz w:val="28"/>
          <w:szCs w:val="28"/>
          <w:rtl w:val="0"/>
        </w:rPr>
        <w:t xml:space="preserve"> que el ataque de los Estados Unidos a Venezuela tiene que ver con el petróleo. No obstante, funcionarios estadounidenses, incluido Trump, han ofrecido otras dos razones poco convincentes: la crisis migratoria y el narcoterrorismo.</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Migrantes y drogas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sanciones económicas y el bloqueo contra Venezuela provocaron un colapso en las condiciones de vida de la población, generando escasez, empobrecimiento acelerado y</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migración forzada</w:t>
        </w:r>
      </w:hyperlink>
      <w:r w:rsidDel="00000000" w:rsidR="00000000" w:rsidRPr="00000000">
        <w:rPr>
          <w:rFonts w:ascii="Times New Roman" w:cs="Times New Roman" w:eastAsia="Times New Roman" w:hAnsi="Times New Roman"/>
          <w:sz w:val="28"/>
          <w:szCs w:val="28"/>
          <w:rtl w:val="0"/>
        </w:rPr>
        <w:t xml:space="preserve"> a gran escala. La salida de más de</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siete millones de personas</w:t>
        </w:r>
      </w:hyperlink>
      <w:r w:rsidDel="00000000" w:rsidR="00000000" w:rsidRPr="00000000">
        <w:rPr>
          <w:rFonts w:ascii="Times New Roman" w:cs="Times New Roman" w:eastAsia="Times New Roman" w:hAnsi="Times New Roman"/>
          <w:sz w:val="28"/>
          <w:szCs w:val="28"/>
          <w:rtl w:val="0"/>
        </w:rPr>
        <w:t xml:space="preserve"> en la última década se debe a la guerra económica.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migración venezolana se ha utilizado como instrumento político, presentada como prueba del fracaso del socialismo y del proyecto revolucionario, mientras que las sanciones responsables de la migración forzada se han invisibilizado.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Muchos migrantes venezolanos fueron inicialmente clasificados como “</w:t>
      </w:r>
      <w:hyperlink r:id="rId20">
        <w:r w:rsidDel="00000000" w:rsidR="00000000" w:rsidRPr="00000000">
          <w:rPr>
            <w:rFonts w:ascii="Times New Roman" w:cs="Times New Roman" w:eastAsia="Times New Roman" w:hAnsi="Times New Roman"/>
            <w:color w:val="1155cc"/>
            <w:sz w:val="28"/>
            <w:szCs w:val="28"/>
            <w:u w:val="single"/>
            <w:rtl w:val="0"/>
          </w:rPr>
          <w:t xml:space="preserve">refugiados políticos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en los países a los que emigraron, lo que reforzó la narrativa de que huían de una dictadura y, por lo tanto, legitimó la imposición de nuevas sanciones, creando una dinámica viciosa. La migración venezolana también se ha utilizado como advertencia dirigida a los posibles votantes de izquierda en América Latina. A través de las </w:t>
      </w:r>
      <w:hyperlink r:id="rId21">
        <w:r w:rsidDel="00000000" w:rsidR="00000000" w:rsidRPr="00000000">
          <w:rPr>
            <w:rFonts w:ascii="Times New Roman" w:cs="Times New Roman" w:eastAsia="Times New Roman" w:hAnsi="Times New Roman"/>
            <w:color w:val="1155cc"/>
            <w:sz w:val="28"/>
            <w:szCs w:val="28"/>
            <w:u w:val="single"/>
            <w:rtl w:val="0"/>
          </w:rPr>
          <w:t xml:space="preserve">políticas</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inmigración de línea dura promovidas durante la segunda administración de Donald Trump, se ha criminalizado a los migrantes: se les detiene, se les encarcela y, a algunos de ellos, se les traslada por la fuerza a la megaprisión CECOT en El Salvador.</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criminalización del migrante como narcotraficante alimentó la construcción de una narrativa sobre los cárteles venezolanos. Esto llevó a la acusación de que el presidente de Venezuela, Nicolás Maduro, era líder de bandas conocidas como Tren de Aragua o el inexistente Cartel de los Soles. La idea del narcotráfico proporcionó la justificación para atacar pequeñas embarcaciones, 36 de las cuales fueron hundidas mediante 35 bombardeos ilegales que</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causaron la muerte</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115 personas. Fue esta idea del narcoterrorismo la que se utilizó para justificar el ataque a Venezuela el 3 de enero.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unió la guerra contra el terrorismo (la Ley Patriota de 2001) y la guerra contra las drogas (que se remonta a la década de 1970) para crear esta idea de “narcoterrorismo” y construir la legitimidad en los Estados Unidos para el ataque a Venezuela, no como una invasión militar, sino como una acción policial. Ahora, Trump quiere</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extender</w:t>
        </w:r>
      </w:hyperlink>
      <w:r w:rsidDel="00000000" w:rsidR="00000000" w:rsidRPr="00000000">
        <w:rPr>
          <w:rFonts w:ascii="Times New Roman" w:cs="Times New Roman" w:eastAsia="Times New Roman" w:hAnsi="Times New Roman"/>
          <w:sz w:val="28"/>
          <w:szCs w:val="28"/>
          <w:rtl w:val="0"/>
        </w:rPr>
        <w:t xml:space="preserve"> esta</w:t>
      </w:r>
      <w:r w:rsidDel="00000000" w:rsidR="00000000" w:rsidRPr="00000000">
        <w:rPr>
          <w:rFonts w:ascii="Times New Roman" w:cs="Times New Roman" w:eastAsia="Times New Roman" w:hAnsi="Times New Roman"/>
          <w:sz w:val="28"/>
          <w:szCs w:val="28"/>
          <w:rtl w:val="0"/>
        </w:rPr>
        <w:t xml:space="preserve"> lógica a Cuba, Colombia y México.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ataque a Venezuela se produjo en un momento en que el país estaba saliendo lentamente de lo peor del impacto social de las sanciones.</w:t>
      </w:r>
      <w:r w:rsidDel="00000000" w:rsidR="00000000" w:rsidRPr="00000000">
        <w:rPr>
          <w:rFonts w:ascii="Times New Roman" w:cs="Times New Roman" w:eastAsia="Times New Roman" w:hAnsi="Times New Roman"/>
          <w:sz w:val="28"/>
          <w:szCs w:val="28"/>
          <w:rtl w:val="0"/>
        </w:rPr>
        <w:t xml:space="preserve"> La </w:t>
      </w:r>
      <w:hyperlink r:id="rId24">
        <w:r w:rsidDel="00000000" w:rsidR="00000000" w:rsidRPr="00000000">
          <w:rPr>
            <w:rFonts w:ascii="Times New Roman" w:cs="Times New Roman" w:eastAsia="Times New Roman" w:hAnsi="Times New Roman"/>
            <w:color w:val="1155cc"/>
            <w:sz w:val="28"/>
            <w:szCs w:val="28"/>
            <w:u w:val="single"/>
            <w:rtl w:val="0"/>
          </w:rPr>
          <w:t xml:space="preserve">recuperación económica</w:t>
        </w:r>
      </w:hyperlink>
      <w:r w:rsidDel="00000000" w:rsidR="00000000" w:rsidRPr="00000000">
        <w:rPr>
          <w:rFonts w:ascii="Times New Roman" w:cs="Times New Roman" w:eastAsia="Times New Roman" w:hAnsi="Times New Roman"/>
          <w:sz w:val="28"/>
          <w:szCs w:val="28"/>
          <w:rtl w:val="0"/>
        </w:rPr>
        <w:t xml:space="preserve"> de Venezuela</w:t>
      </w:r>
      <w:r w:rsidDel="00000000" w:rsidR="00000000" w:rsidRPr="00000000">
        <w:rPr>
          <w:rFonts w:ascii="Times New Roman" w:cs="Times New Roman" w:eastAsia="Times New Roman" w:hAnsi="Times New Roman"/>
          <w:sz w:val="28"/>
          <w:szCs w:val="28"/>
          <w:rtl w:val="0"/>
        </w:rPr>
        <w:t xml:space="preserve"> en medio de esas sanciones se produjo en un contexto marcado por la aparición de los BRICS y el estrechamiento de las relaciones comerciales y políticas con China, Irán y Rusia, lo que permitió suavizar las consecuencias de las sanciones estadounidenses. Al mismo tiempo, la profunda crisis de escasez, especialmente dura en un país históricamente estructurado bajo un modelo rentista dependiente de las importaciones de alimentos, impulsó una reorganización de la producción agrícola nacional y de las cadenas de suministro de alimentos orientada a la construcción de la soberanía alimentaria. En este proceso, las comunas, junto con la aparición de nuevas empresas nacionales dedicadas a la producción de alimentos y otros bienes esenciales, </w:t>
      </w:r>
      <w:r w:rsidDel="00000000" w:rsidR="00000000" w:rsidRPr="00000000">
        <w:rPr>
          <w:rFonts w:ascii="Times New Roman" w:cs="Times New Roman" w:eastAsia="Times New Roman" w:hAnsi="Times New Roman"/>
          <w:sz w:val="28"/>
          <w:szCs w:val="28"/>
          <w:rtl w:val="0"/>
        </w:rPr>
        <w:t xml:space="preserve">dinamizaron</w:t>
      </w:r>
      <w:r w:rsidDel="00000000" w:rsidR="00000000" w:rsidRPr="00000000">
        <w:rPr>
          <w:rFonts w:ascii="Times New Roman" w:cs="Times New Roman" w:eastAsia="Times New Roman" w:hAnsi="Times New Roman"/>
          <w:sz w:val="28"/>
          <w:szCs w:val="28"/>
          <w:rtl w:val="0"/>
        </w:rPr>
        <w:t xml:space="preserve"> la economía venezolana y permitieron una rápida recuperación tras la crisis provocada por las sanciones.</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respuesta organizada a la injerencia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colectiva a la coacción económica está en consonancia con la de los acontecimientos recientes. El pueblo salió a las calles:</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miles de personas</w:t>
        </w:r>
      </w:hyperlink>
      <w:r w:rsidDel="00000000" w:rsidR="00000000" w:rsidRPr="00000000">
        <w:rPr>
          <w:rFonts w:ascii="Times New Roman" w:cs="Times New Roman" w:eastAsia="Times New Roman" w:hAnsi="Times New Roman"/>
          <w:sz w:val="28"/>
          <w:szCs w:val="28"/>
          <w:rtl w:val="0"/>
        </w:rPr>
        <w:t xml:space="preserve"> en Caracas</w:t>
      </w:r>
      <w:r w:rsidDel="00000000" w:rsidR="00000000" w:rsidRPr="00000000">
        <w:rPr>
          <w:rFonts w:ascii="Times New Roman" w:cs="Times New Roman" w:eastAsia="Times New Roman" w:hAnsi="Times New Roman"/>
          <w:sz w:val="28"/>
          <w:szCs w:val="28"/>
          <w:rtl w:val="0"/>
        </w:rPr>
        <w:t xml:space="preserve">, en las zonas rurales y en otras ciudades se movilizaron para pedir la liberación de su presidente y rechazar una intervención militar estadounidense, respaldando a las milicias bolivarianas, la policía, el ejército y el Gobierno. Esta resistencia ha sido ignorada por los medios de comunicación internacionales.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último, la toma de posesión de la vicepresidenta Delcy Rodríguez como jefa del Gobierno, junto con la presencia de los embajadores de China, Irán y Rusia, así como la instalación de la Asamblea Nacional con la presencia del hijo de Nicolás Maduro, demuestran que la Revolución Bolivariana no ha sido derrotada y que las especulaciones sobre traiciones internas carecen de base concreta.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uters.com/article/world/nearly-quarter-million-venezuelans-sought-asylum-in-2018-unhcr-says-idUSKCN1QP1WX" TargetMode="External"/><Relationship Id="rId22" Type="http://schemas.openxmlformats.org/officeDocument/2006/relationships/hyperlink" Target="https://edition.cnn.com/2025/11/02/politics/timeline-us-strikes-caribbean-pacific-vis" TargetMode="External"/><Relationship Id="rId21" Type="http://schemas.openxmlformats.org/officeDocument/2006/relationships/hyperlink" Target="https://www.reuters.com/world/us/trump-administration-ends-temporary-protected-status-venezuelan-migrants-2025-09-03/" TargetMode="External"/><Relationship Id="rId24" Type="http://schemas.openxmlformats.org/officeDocument/2006/relationships/hyperlink" Target="https://observatorio.gob.ve/venezuela-mantiene-recuperacion-economica-al-crecer-932-entre-enero-y-marzo/#:~:text=De%20acuerdo%20con%20cifras%20del,trimestres%20consecutivos%20de%20crecimiento%20econ%C3%B3mico." TargetMode="External"/><Relationship Id="rId23" Type="http://schemas.openxmlformats.org/officeDocument/2006/relationships/hyperlink" Target="https://www.aljazeera.com/news/2026/1/7/trumps-attacks-on-venezuela-put-the-us-neighbour-mexico-on-ed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news.com/article/north-america-caribbean-ap-top-news-venezuela-honduras-2ded14659982426c9b2552827734be83" TargetMode="External"/><Relationship Id="rId25" Type="http://schemas.openxmlformats.org/officeDocument/2006/relationships/hyperlink" Target="https://www.nbcnews.com/video/-we-want-him-back-thousands-in-caracas-rally-for-maduro-s-release-255391301959"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opec.org/assets/assetdb/asb-2025.pdf" TargetMode="External"/><Relationship Id="rId11" Type="http://schemas.openxmlformats.org/officeDocument/2006/relationships/hyperlink" Target="https://repositorio.cepal.org/bitstream/handle/11362/36761/1/S20131019_es.pdf" TargetMode="External"/><Relationship Id="rId10" Type="http://schemas.openxmlformats.org/officeDocument/2006/relationships/hyperlink" Target="https://www.theguardian.com/news/2020/sep/03/operation-condor-the-illegal-state-network-that-terrorised-south-america" TargetMode="External"/><Relationship Id="rId13" Type="http://schemas.openxmlformats.org/officeDocument/2006/relationships/hyperlink" Target="https://mronline.org/2022/06/06/a-second-left-wing-progressive-wave-is-emerging-in-latin-america/" TargetMode="External"/><Relationship Id="rId12" Type="http://schemas.openxmlformats.org/officeDocument/2006/relationships/hyperlink" Target="https://repositorio.cepal.org/bitstream/handle/11362/36761/1/S20131019_es.pdf" TargetMode="External"/><Relationship Id="rId15" Type="http://schemas.openxmlformats.org/officeDocument/2006/relationships/hyperlink" Target="https://www.peoplesworld.org/article/trump-advances-venezuela-coup-by-recognizing-opposition-leader-as-acting-president/" TargetMode="External"/><Relationship Id="rId14" Type="http://schemas.openxmlformats.org/officeDocument/2006/relationships/hyperlink" Target="https://peoplesworld.org/article/venezuela-2002-the-coup-heard-around-the-world/" TargetMode="External"/><Relationship Id="rId17" Type="http://schemas.openxmlformats.org/officeDocument/2006/relationships/hyperlink" Target="https://cepr.net/publications/economic-sanctions-a-root-cause-of-migration/?utm_source=chatgpt.com" TargetMode="External"/><Relationship Id="rId16" Type="http://schemas.openxmlformats.org/officeDocument/2006/relationships/hyperlink" Target="https://www.nytimes.com/2026/01/03/us/politics/trump-venezuela-oil.html" TargetMode="External"/><Relationship Id="rId19" Type="http://schemas.openxmlformats.org/officeDocument/2006/relationships/hyperlink" Target="https://www.iom.int/regional-response-situation-venezuelan-migrants-and-refugees" TargetMode="External"/><Relationship Id="rId18" Type="http://schemas.openxmlformats.org/officeDocument/2006/relationships/hyperlink" Target="https://cepr.net/publications/economic-sanctions-a-root-cause-of-migration/?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