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Cooperation Between Cuba and Venezuela: A War Target for the US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Summary: </w:t>
      </w:r>
      <w:r w:rsidDel="00000000" w:rsidR="00000000" w:rsidRPr="00000000">
        <w:rPr>
          <w:rFonts w:ascii="Times New Roman" w:cs="Times New Roman" w:eastAsia="Times New Roman" w:hAnsi="Times New Roman"/>
          <w:sz w:val="28"/>
          <w:szCs w:val="28"/>
          <w:rtl w:val="0"/>
        </w:rPr>
        <w:t xml:space="preserve">The relationship between Cuba and Venezuela transcends traditional diplomacy; it is a phenomenon of direct confrontation against imperialism and a model of cooperation between peoples that has transformed the geopolitics of the Caribbean and South America. This alliance is not a recent or improvised development; it has deep roots, and its destruction has become a primary strategic objective for the United States.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Carmen Navas Reyes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written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is a Venezuelan political scientist with a master's degree in Ecology for Human Development (UNESR). She is currently pursuing a doctorate in Our America Studies at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Rómulo Gallegos Latin American Studies Center Foundation</w:t>
        </w:r>
      </w:hyperlink>
      <w:r w:rsidDel="00000000" w:rsidR="00000000" w:rsidRPr="00000000">
        <w:rPr>
          <w:rFonts w:ascii="Times New Roman" w:cs="Times New Roman" w:eastAsia="Times New Roman" w:hAnsi="Times New Roman"/>
          <w:sz w:val="28"/>
          <w:szCs w:val="28"/>
          <w:rtl w:val="0"/>
        </w:rPr>
        <w:t xml:space="preserve"> (CELARG) in Venezuela. She is a member of the International Advisory Council of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North America/United States, South America/Venezuela, War, News, Opinion, Politics</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Background: Between Official Tension and Rebellious Inspiration</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the triumph of the Cuban Revolution in 1959, the initially cordial bilateral relationship deteriorated rapidly. With the fall of the Marcos Pérez Jiménez dictatorship and the rise of Rómulo Betancourt to power, Venezuela became Fidel Castro's main regional antagonist. The ‘</w:t>
      </w:r>
      <w:hyperlink r:id="rId12">
        <w:r w:rsidDel="00000000" w:rsidR="00000000" w:rsidRPr="00000000">
          <w:rPr>
            <w:rFonts w:ascii="Times New Roman" w:cs="Times New Roman" w:eastAsia="Times New Roman" w:hAnsi="Times New Roman"/>
            <w:color w:val="1155cc"/>
            <w:sz w:val="28"/>
            <w:szCs w:val="28"/>
            <w:u w:val="single"/>
            <w:rtl w:val="0"/>
          </w:rPr>
          <w:t xml:space="preserve">Betancourt Doctrine</w:t>
        </w:r>
      </w:hyperlink>
      <w:r w:rsidDel="00000000" w:rsidR="00000000" w:rsidRPr="00000000">
        <w:rPr>
          <w:rFonts w:ascii="Times New Roman" w:cs="Times New Roman" w:eastAsia="Times New Roman" w:hAnsi="Times New Roman"/>
          <w:sz w:val="28"/>
          <w:szCs w:val="28"/>
          <w:rtl w:val="0"/>
        </w:rPr>
        <w:t xml:space="preserve">,’aligned with Washington's interests, led to the breakdown of relations and spearheaded Cuba's</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expulsion from the OAS</w:t>
        </w:r>
      </w:hyperlink>
      <w:r w:rsidDel="00000000" w:rsidR="00000000" w:rsidRPr="00000000">
        <w:rPr>
          <w:rFonts w:ascii="Times New Roman" w:cs="Times New Roman" w:eastAsia="Times New Roman" w:hAnsi="Times New Roman"/>
          <w:sz w:val="28"/>
          <w:szCs w:val="28"/>
          <w:rtl w:val="0"/>
        </w:rPr>
        <w:t xml:space="preserve"> in 1962.</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Tensions reached their peak with the landing at</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Machurucuto</w:t>
        </w:r>
      </w:hyperlink>
      <w:r w:rsidDel="00000000" w:rsidR="00000000" w:rsidRPr="00000000">
        <w:rPr>
          <w:rFonts w:ascii="Times New Roman" w:cs="Times New Roman" w:eastAsia="Times New Roman" w:hAnsi="Times New Roman"/>
          <w:sz w:val="28"/>
          <w:szCs w:val="28"/>
          <w:rtl w:val="0"/>
        </w:rPr>
        <w:t xml:space="preserve"> (1967), where a dozen Cuban military personnel and Venezuelan guerrillas attempted to start an insurgency on the coast of Miranda. This event was used by the Raúl Leoni administration and the US to consolidate the narrative of the Cuban Revolution as Venezuela's ‘external enemy’ and to advance the politics and military strategy of anti-communism in this country.</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for the Venezuelan left, Cuba was always a beacon. Despite the repression of Punto Fijo democracy, the Sierra Maestra inspired a generation of young people who saw in that feat a model to follow. Movements such as the</w:t>
      </w:r>
      <w:hyperlink r:id="rId17">
        <w:r w:rsidDel="00000000" w:rsidR="00000000" w:rsidRPr="00000000">
          <w:rPr>
            <w:rFonts w:ascii="Times New Roman" w:cs="Times New Roman" w:eastAsia="Times New Roman" w:hAnsi="Times New Roman"/>
            <w:sz w:val="28"/>
            <w:szCs w:val="28"/>
            <w:rtl w:val="0"/>
          </w:rPr>
          <w:t xml:space="preserve"> Revolutionary Left Movement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MIR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the</w:t>
      </w:r>
      <w:hyperlink r:id="rId19">
        <w:r w:rsidDel="00000000" w:rsidR="00000000" w:rsidRPr="00000000">
          <w:rPr>
            <w:rFonts w:ascii="Times New Roman" w:cs="Times New Roman" w:eastAsia="Times New Roman" w:hAnsi="Times New Roman"/>
            <w:sz w:val="28"/>
            <w:szCs w:val="28"/>
            <w:rtl w:val="0"/>
          </w:rPr>
          <w:t xml:space="preserve"> Armed Forces of National Liberation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FALN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under figures such as Fabricio Ojeda, sought to replicate ‘</w:t>
      </w:r>
      <w:r w:rsidDel="00000000" w:rsidR="00000000" w:rsidRPr="00000000">
        <w:rPr>
          <w:rFonts w:ascii="Times New Roman" w:cs="Times New Roman" w:eastAsia="Times New Roman" w:hAnsi="Times New Roman"/>
          <w:i w:val="1"/>
          <w:iCs w:val="1"/>
          <w:sz w:val="28"/>
          <w:szCs w:val="28"/>
          <w:rtl w:val="0"/>
        </w:rPr>
        <w:t xml:space="preserve">foquismo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the Venezuelan mountains, keeping alive an ideological link that resisted the subordination to the US mandate by successive governments.</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1994: The Meeting That Changed History</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hyperlink r:id="rId21">
        <w:r w:rsidDel="00000000" w:rsidR="00000000" w:rsidRPr="00000000">
          <w:rPr>
            <w:rFonts w:ascii="Times New Roman" w:cs="Times New Roman" w:eastAsia="Times New Roman" w:hAnsi="Times New Roman"/>
            <w:color w:val="1155cc"/>
            <w:sz w:val="28"/>
            <w:szCs w:val="28"/>
            <w:u w:val="single"/>
            <w:rtl w:val="0"/>
          </w:rPr>
          <w:t xml:space="preserve">14 December 1994</w:t>
        </w:r>
      </w:hyperlink>
      <w:r w:rsidDel="00000000" w:rsidR="00000000" w:rsidRPr="00000000">
        <w:rPr>
          <w:rFonts w:ascii="Times New Roman" w:cs="Times New Roman" w:eastAsia="Times New Roman" w:hAnsi="Times New Roman"/>
          <w:sz w:val="28"/>
          <w:szCs w:val="28"/>
          <w:rtl w:val="0"/>
        </w:rPr>
        <w:t xml:space="preserve"> marked a turning point. Hugo Chávez, recently released from prison after the 1992 military rebellion, landed in Havana and was received with Head of State honors by Fidel Castro himself at the foot of the airplane stairs.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calculated and visionary gesture not only legitimized Chávez as the future leader of the continental left, but also sowed the seeds of a political and personal relationship that would become the basis of an unprecedented strategic alliance.</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Bolivarian Revolution and the Cuban Revolution: A New Integration Model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Chávez's arrival in power in 1999, rhetoric was transformed into concrete action. The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Comprehensive Cooperation Agreement between Venezuela and Cuba</w:t>
        </w:r>
      </w:hyperlink>
      <w:r w:rsidDel="00000000" w:rsidR="00000000" w:rsidRPr="00000000">
        <w:rPr>
          <w:rFonts w:ascii="Times New Roman" w:cs="Times New Roman" w:eastAsia="Times New Roman" w:hAnsi="Times New Roman"/>
          <w:sz w:val="28"/>
          <w:szCs w:val="28"/>
          <w:rtl w:val="0"/>
        </w:rPr>
        <w:t xml:space="preserve">, signed on 30 October 2000, became the cornerstone of this new stage. An unprecedented solidarity compensation mechanism was established: Venezuela guaranteed energy supplies to the island under fair financial conditions, while Cuba reciprocated with its most valuable capital: human talent and scientific advances.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exchange gave rise to the Social Missions in Venezuela, the executive arm of Chavismo's social policy:</w:t>
      </w:r>
    </w:p>
    <w:p w:rsidR="00000000" w:rsidDel="00000000" w:rsidP="00000000" w:rsidRDefault="00000000" w:rsidRPr="00000000" w14:paraId="00000013">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Barrio Adentro Mission: Brings free primary health care to the poorest corners of the country with thousands of Cuban doctors.</w:t>
      </w:r>
    </w:p>
    <w:p w:rsidR="00000000" w:rsidDel="00000000" w:rsidP="00000000" w:rsidRDefault="00000000" w:rsidRPr="00000000" w14:paraId="00000014">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Robinson Mission: Eradicated illiteracy in Venezuela (recognized by UNESCO in 2005) through the ‘</w:t>
      </w:r>
      <w:r w:rsidDel="00000000" w:rsidR="00000000" w:rsidRPr="00000000">
        <w:rPr>
          <w:rFonts w:ascii="Times New Roman" w:cs="Times New Roman" w:eastAsia="Times New Roman" w:hAnsi="Times New Roman"/>
          <w:i w:val="1"/>
          <w:iCs w:val="1"/>
          <w:sz w:val="28"/>
          <w:szCs w:val="28"/>
          <w:rtl w:val="0"/>
        </w:rPr>
        <w:t xml:space="preserve">Yo, sí puedo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(Yes, I can) method.</w:t>
      </w:r>
    </w:p>
    <w:p w:rsidR="00000000" w:rsidDel="00000000" w:rsidP="00000000" w:rsidRDefault="00000000" w:rsidRPr="00000000" w14:paraId="00000015">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Misión Milagro: Restored sight to hundreds of thousands of Latin Americans through free eye surgery.</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social issues, cooperation covered strategic areas such as the modernization of the identification system (SAIME), agricultural development, and the popularization of sports.</w:t>
      </w:r>
    </w:p>
    <w:p w:rsidR="00000000" w:rsidDel="00000000" w:rsidP="00000000" w:rsidRDefault="00000000" w:rsidRPr="00000000" w14:paraId="0000001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Defense Alliance and the Cuban Martyr Heroes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sensitive and profound dimension of this alliance has been cooperation in security and defense. Cuba played a key role in restructuring the Bolivarian National Armed Force (FANB) and updating intelligence and counterintelligence doctrine, preparing the nation for asymmetric warfare scenarios.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in this context of combative brotherhood that the recent event of the</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32 Cuban military cooperants</w:t>
        </w:r>
      </w:hyperlink>
      <w:r w:rsidDel="00000000" w:rsidR="00000000" w:rsidRPr="00000000">
        <w:rPr>
          <w:rFonts w:ascii="Times New Roman" w:cs="Times New Roman" w:eastAsia="Times New Roman" w:hAnsi="Times New Roman"/>
          <w:sz w:val="28"/>
          <w:szCs w:val="28"/>
          <w:rtl w:val="0"/>
        </w:rPr>
        <w:t xml:space="preserve"> killed in combat takes place. These men lost their lives on Venezuelan territory during the direct aggression perpetrated by the United States on 3 January, an operation that led to the kidnapping of President Nicolás Maduro and the First Lady and First Combatant, Cilia Flores.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bloody event is not isolated; it responds to the historical internationalist mystique of the Cuban Revolution. It is the same vocation that led its</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fighters to Africa</w:t>
        </w:r>
      </w:hyperlink>
      <w:r w:rsidDel="00000000" w:rsidR="00000000" w:rsidRPr="00000000">
        <w:rPr>
          <w:rFonts w:ascii="Times New Roman" w:cs="Times New Roman" w:eastAsia="Times New Roman" w:hAnsi="Times New Roman"/>
          <w:sz w:val="28"/>
          <w:szCs w:val="28"/>
          <w:rtl w:val="0"/>
        </w:rPr>
        <w:t xml:space="preserve"> to fight for the liberation of Angola and Namibia and help defeat apartheid. Today, the death in combat of these 32 Cubans, along with more than 50 Venezuelan soldiers, definitively seals with blood a relationship of brotherhood between two peoples who,</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together,</w:t>
        </w:r>
      </w:hyperlink>
      <w:r w:rsidDel="00000000" w:rsidR="00000000" w:rsidRPr="00000000">
        <w:rPr>
          <w:rFonts w:ascii="Times New Roman" w:cs="Times New Roman" w:eastAsia="Times New Roman" w:hAnsi="Times New Roman"/>
          <w:sz w:val="28"/>
          <w:szCs w:val="28"/>
          <w:rtl w:val="0"/>
        </w:rPr>
        <w:t xml:space="preserve"> face the most violent and desperate phase of US imperialism.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edema.org/digital_items/2574" TargetMode="External"/><Relationship Id="rId22" Type="http://schemas.openxmlformats.org/officeDocument/2006/relationships/hyperlink" Target="http://www.cubadebate.cu/especiales/2010/11/07/convenio-integral-de-cooperacion-venezuela-cuba/amp/" TargetMode="External"/><Relationship Id="rId21" Type="http://schemas.openxmlformats.org/officeDocument/2006/relationships/hyperlink" Target="https://www.presidencia.gob.cu/es/noticias/fidel-y-chavez-el-primer-abrazo/" TargetMode="External"/><Relationship Id="rId24" Type="http://schemas.openxmlformats.org/officeDocument/2006/relationships/hyperlink" Target="https://2001online.com/nacionales/comunicado-oficial-gobierno-de-venezuela-rinde-homenaje-a-los-32-cubanos-fallecidos-el-3-de-enero-20261510110/amp" TargetMode="External"/><Relationship Id="rId23" Type="http://schemas.openxmlformats.org/officeDocument/2006/relationships/hyperlink" Target="http://www.cubadebate.cu/especiales/2010/11/07/convenio-integral-de-cooperacion-venezuela-cuba/am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rebelion.org/cuba-consolido-la-independencia-de-angola-y-ayudo-a-liberar-namibia-y-zimbabwe/" TargetMode="External"/><Relationship Id="rId25" Type="http://schemas.openxmlformats.org/officeDocument/2006/relationships/hyperlink" Target="https://2001online.com/nacionales/comunicado-oficial-gobierno-de-venezuela-rinde-homenaje-a-los-32-cubanos-fallecidos-el-3-de-enero-20261510110/amp" TargetMode="External"/><Relationship Id="rId28" Type="http://schemas.openxmlformats.org/officeDocument/2006/relationships/hyperlink" Target="https://youtu.be/JHVeBvYaZ3E?si=51u3hx31C3YNQaiN" TargetMode="External"/><Relationship Id="rId27" Type="http://schemas.openxmlformats.org/officeDocument/2006/relationships/hyperlink" Target="https://rebelion.org/cuba-consolido-la-independencia-de-angola-y-ayudo-a-liberar-namibia-y-zimbabw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youtu.be/JHVeBvYaZ3E?si=51u3hx31C3YNQaiN"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11" Type="http://schemas.openxmlformats.org/officeDocument/2006/relationships/hyperlink" Target="https://thetricontinental.org/es/" TargetMode="External"/><Relationship Id="rId10" Type="http://schemas.openxmlformats.org/officeDocument/2006/relationships/hyperlink" Target="https://thetricontinental.org/es/" TargetMode="External"/><Relationship Id="rId13" Type="http://schemas.openxmlformats.org/officeDocument/2006/relationships/hyperlink" Target="https://www.semana.com/amp/mundo/articulo/cuba-y-la-doctrina-betancourt-por-mauricio-acero-montejo/580367/" TargetMode="External"/><Relationship Id="rId12" Type="http://schemas.openxmlformats.org/officeDocument/2006/relationships/hyperlink" Target="https://www.enciclopediadelapolitica.org/doctrina_betancourt/" TargetMode="External"/><Relationship Id="rId15" Type="http://schemas.openxmlformats.org/officeDocument/2006/relationships/hyperlink" Target="https://amp.mazo4f.com/desembarco-de-machurucuto-el-nacional-13-de-mayo-de-1967" TargetMode="External"/><Relationship Id="rId14" Type="http://schemas.openxmlformats.org/officeDocument/2006/relationships/hyperlink" Target="https://www.semana.com/amp/mundo/articulo/cuba-y-la-doctrina-betancourt-por-mauricio-acero-montejo/580367/" TargetMode="External"/><Relationship Id="rId17" Type="http://schemas.openxmlformats.org/officeDocument/2006/relationships/hyperlink" Target="https://www.aporrea.org/amp/actualidad/a320888.html" TargetMode="External"/><Relationship Id="rId16" Type="http://schemas.openxmlformats.org/officeDocument/2006/relationships/hyperlink" Target="https://amp.mazo4f.com/desembarco-de-machurucuto-el-nacional-13-de-mayo-de-1967" TargetMode="External"/><Relationship Id="rId19" Type="http://schemas.openxmlformats.org/officeDocument/2006/relationships/hyperlink" Target="https://cedema.org/digital_items/2574" TargetMode="External"/><Relationship Id="rId18" Type="http://schemas.openxmlformats.org/officeDocument/2006/relationships/hyperlink" Target="https://www.aporrea.org/amp/actualidad/a3208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