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Las fabulosas alucinaciones de los líderes europeos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w:t>
      </w:r>
      <w:r w:rsidDel="00000000" w:rsidR="00000000" w:rsidRPr="00000000">
        <w:rPr>
          <w:rFonts w:ascii="Times New Roman" w:cs="Times New Roman" w:eastAsia="Times New Roman" w:hAnsi="Times New Roman"/>
          <w:sz w:val="28"/>
          <w:szCs w:val="28"/>
          <w:rtl w:val="0"/>
        </w:rPr>
        <w:t xml:space="preserve">Chelwa y Prashad publicarán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 finales de este año con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 Europa/Países Bajos, Europa/Alemania, Europa/Rusia, Economía, Guerra, Política, Noticias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Sentado en una animada sala de la Universidad de Ámsterdam, hago una pregunta sobre el respeto que los estudiantes sienten por su antiguo primer ministro y actual jefe de la Organización del Tratado del Atlántico Norte (OTAN), Mark Rutte. La sala está animada y divertida. Nadie parece otorgar a Rutte el respeto que podría merecer. Lo ven como un traje vacío que ocupó el cargo de primer ministro desde octubre de 2010 hasta julio de 2024, un total de más de cinco mil días, el jefe de Gobierno con más años de servicio en la historia de los Países Bajos. Bajo el liderazgo de Rutte, los Países Bajos </w:t>
      </w:r>
      <w:r w:rsidDel="00000000" w:rsidR="00000000" w:rsidRPr="00000000">
        <w:rPr>
          <w:rFonts w:ascii="Times New Roman" w:cs="Times New Roman" w:eastAsia="Times New Roman" w:hAnsi="Times New Roman"/>
          <w:sz w:val="28"/>
          <w:szCs w:val="28"/>
          <w:rtl w:val="0"/>
        </w:rPr>
        <w:t xml:space="preserve">canibalizaron</w:t>
      </w:r>
      <w:r w:rsidDel="00000000" w:rsidR="00000000" w:rsidRPr="00000000">
        <w:rPr>
          <w:rFonts w:ascii="Times New Roman" w:cs="Times New Roman" w:eastAsia="Times New Roman" w:hAnsi="Times New Roman"/>
          <w:sz w:val="28"/>
          <w:szCs w:val="28"/>
          <w:rtl w:val="0"/>
        </w:rPr>
        <w:t xml:space="preserve"> su estado de bienestar social y reforzaron su aparato represivo: más dinero para armas y menos para la salud infantil. Les pregunté por Rutte no solo por su mandato en Holanda, sino también por su papel al frente de la OTAN. Acababa de hacer una sorprendente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observación</w:t>
        </w:r>
      </w:hyperlink>
      <w:r w:rsidDel="00000000" w:rsidR="00000000" w:rsidRPr="00000000">
        <w:rPr>
          <w:rFonts w:ascii="Times New Roman" w:cs="Times New Roman" w:eastAsia="Times New Roman" w:hAnsi="Times New Roman"/>
          <w:sz w:val="28"/>
          <w:szCs w:val="28"/>
          <w:rtl w:val="0"/>
        </w:rPr>
        <w:t xml:space="preserve"> en la Conferencia de Seguridad de Múnich el 11 de diciembre de 2025:</w:t>
      </w:r>
    </w:p>
    <w:p w:rsidR="00000000" w:rsidDel="00000000" w:rsidP="00000000" w:rsidRDefault="00000000" w:rsidRPr="00000000" w14:paraId="00000009">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conflicto está a nuestras puertas. Rusia ha devuelto la guerra a Europa y debemos estar preparados para una guerra de la misma magnitud que la que sufrieron nuestros abuelos o bisabuelos. Imaginen un conflicto que llega a todos los hogares, a todos los lugares de trabajo, con destrucción, movilización masiva, millones de desplazados, sufrimiento generalizado y pérdidas extremas.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imagen que Rutte pintó de una guerra total parece extraña en Ámsterdam, una ciudad de menos de un millón de habitantes que recibió alrededor de 20 millones de turistas en 2024 y que parece que superará esa cifra este año. Las calles están abarrotadas, los museos llenos y se respira una indiferencia generalizada a medida que se acerca la Navidad. Estaba sentado en la Universidad para conversar con Chris De Ploeg, autor de </w:t>
      </w:r>
      <w:r w:rsidDel="00000000" w:rsidR="00000000" w:rsidRPr="00000000">
        <w:rPr>
          <w:rFonts w:ascii="Times New Roman" w:cs="Times New Roman" w:eastAsia="Times New Roman" w:hAnsi="Times New Roman"/>
          <w:i w:val="1"/>
          <w:iCs w:val="1"/>
          <w:sz w:val="28"/>
          <w:szCs w:val="28"/>
          <w:rtl w:val="0"/>
        </w:rPr>
        <w:t xml:space="preserve">De Grote Koloniale Oorlog</w:t>
      </w:r>
      <w:r w:rsidDel="00000000" w:rsidR="00000000" w:rsidRPr="00000000">
        <w:rPr>
          <w:rFonts w:ascii="Times New Roman" w:cs="Times New Roman" w:eastAsia="Times New Roman" w:hAnsi="Times New Roman"/>
          <w:sz w:val="28"/>
          <w:szCs w:val="28"/>
          <w:rtl w:val="0"/>
        </w:rPr>
        <w:t xml:space="preserve"> (La Gran Guerra Colonial), un clásico contemporáneo en neerlandés, y candidato principal de la formación de izquierda De Vonk, que se presentará a las elecciones locales de Ámsterdam el año que viene (con Chris como candidato principal). Chris lo tiene claro: durante el mandato de Rutte, cada vez que se debatía la necesidad de financiar las necesidades humanas, el gobierno de Rutte decía que no había fondos, pero en cuanto se planteaba aumentar el gasto militar... bueno, los fondos estaban disponibles de inmediato. “No se trata de economía”, dice Chris, “sino de política. Se trata de decisiones políticas”.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Actualmente, los Países Bajos</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ocupan</w:t>
        </w:r>
      </w:hyperlink>
      <w:r w:rsidDel="00000000" w:rsidR="00000000" w:rsidRPr="00000000">
        <w:rPr>
          <w:rFonts w:ascii="Times New Roman" w:cs="Times New Roman" w:eastAsia="Times New Roman" w:hAnsi="Times New Roman"/>
          <w:sz w:val="28"/>
          <w:szCs w:val="28"/>
          <w:rtl w:val="0"/>
        </w:rPr>
        <w:t xml:space="preserve"> el séptimo lugar entre los países de la OTAN en términos de gasto militar. El país gasta 24.000 millones de euros al año en el ejército, lo que supone el 2% del producto interior bruto (PIB) o el 3,7% del gasto público total (datos de 2022). Los Países Bajos han cumplido el objetivo anterior del 2%, pero están muy lejos del nuevo objetivo del 5% del PIB para el gasto militar. Para alcanzar esa cifra, los Países Bajos tendrán que triplicar el gasto militar hasta los 60.000 millones de euros. Esto supondrá reducir la inversión gubernamental en seguridad social, sanidad, educación y servicios públicos, así como aumentar la deuda pública. Se trataría de un cambio fundamental en las prioridades nacionales. “Sin una izquierda fuerte que les presione”, argumenta De Vonk, los liberales y la derecha “venderán todo nuestro estado del bienestar al ejército”. Eso ya está sobre la mesa y, sin formaciones como De Vonk, el tren hacia la militarización ya ha comenzado a rodar. Ámsterdam dejará de ser la ciudad de los turistas. Se va a vaciar aún más.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actual alcaldesa de Ámsterdam, Femke Halsema, pertenece al partido Izquierda Verde (GroenLinks). Quizá le interese saber que si los Estados de la OTAN, incluidos los Países Bajos, aumentan sus presupuestos militares al 5%, esto no solo afectará a su política fiscal, sino que tendrá una enorme huella de carbono. Según la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rúbrica</w:t>
        </w:r>
      </w:hyperlink>
      <w:r w:rsidDel="00000000" w:rsidR="00000000" w:rsidRPr="00000000">
        <w:rPr>
          <w:rFonts w:ascii="Times New Roman" w:cs="Times New Roman" w:eastAsia="Times New Roman" w:hAnsi="Times New Roman"/>
          <w:sz w:val="28"/>
          <w:szCs w:val="28"/>
          <w:rtl w:val="0"/>
        </w:rPr>
        <w:t xml:space="preserve"> de Scientists for Global Responsibility, cualquier aumento de 100.000 millones de dólares en el presupuesto militar supondrá 32 millones de toneladas de emisiones de dióxido de carbono. Un aumento del 5% por parte de la OTAN supondría un presupuesto militar de 2,54 billones de dólares (en 2024, la OTAN gastó 1,15 billones de dólares). Este aumento generaría 365 millones de toneladas de emisiones de dióxido de carbono, lo que equivale casi al total de las emisiones anuales de países como Italia o el Reino Unido. Ningún político europeo importante ha planteado la cuestión de la huella de carbono del 5% del gasto militar.</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sombra de la guerra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día después del discurso de Rutte, el ministro de las Fuerzas Armadas británicas, Al Carns,</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i w:val="1"/>
          <w:iCs w:val="1"/>
          <w:sz w:val="28"/>
          <w:szCs w:val="28"/>
          <w:rtl w:val="0"/>
        </w:rPr>
        <w:t xml:space="preserve">The Telegraph</w:t>
      </w:r>
      <w:r w:rsidDel="00000000" w:rsidR="00000000" w:rsidRPr="00000000">
        <w:rPr>
          <w:rFonts w:ascii="Times New Roman" w:cs="Times New Roman" w:eastAsia="Times New Roman" w:hAnsi="Times New Roman"/>
          <w:sz w:val="28"/>
          <w:szCs w:val="28"/>
          <w:rtl w:val="0"/>
        </w:rPr>
        <w:t xml:space="preserve">: “Durante los últimos 50 o 60 años, hemos dependido de las garantías de seguridad de los Estados Unidos y ahora, con las amenazas multipolares a las que se enfrenta los Estados Unidos, es posible que estas no sean tan contundentes como en el pasado”. Debido a este paraguas militar estadounidense, dijo Carns, el Reino Unido había “externalizado su letalidad a otros. Tenemos que asegurarnos de aumentar nuestra letalidad”. A continuación, hizo la siguiente observación interesante: “La sombra de la guerra vuelve a llamar a la puerta de Europa. Esa es la realidad. Tenemos que estar preparados para disuadirla. Colectivamente, en la OTAN, tenemos que recordar que, numéricamente, superamos a Rusia de forma significativa”.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dos puntos que considerar aquí: en primer lugar, si Rusia es una amenaza real para Europa y, en segundo lugar, si Europa puede “superar” a Rusia.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mediados de noviembre de 2025, el ministro de Relaciones Exteriores alemán, Boris Pistorius,</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i w:val="1"/>
          <w:iCs w:val="1"/>
          <w:sz w:val="28"/>
          <w:szCs w:val="28"/>
          <w:rtl w:val="0"/>
        </w:rPr>
        <w:t xml:space="preserve">Frankfurter Allgemeine Zeitung</w:t>
      </w:r>
      <w:r w:rsidDel="00000000" w:rsidR="00000000" w:rsidRPr="00000000">
        <w:rPr>
          <w:rFonts w:ascii="Times New Roman" w:cs="Times New Roman" w:eastAsia="Times New Roman" w:hAnsi="Times New Roman"/>
          <w:sz w:val="28"/>
          <w:szCs w:val="28"/>
          <w:rtl w:val="0"/>
        </w:rPr>
        <w:t xml:space="preserve"> que Rusia atacaría Europa en 2029 o “ya en 2028, y algunos historiadores militares incluso creen que hemos tenido nuestro último verano pacífico”. Unas semanas más tarde, el presidente ruso, Vladímir Putin, asistió a la cumbre de la Organización del Tratado de Seguridad Colectiva en Bishkek (Kirguistán), donde negó que Rusia tuviera ningún deseo de atacar Europa.</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esas ideas eran “mentiras”, “tonterías” y “ridículas”. Cuando los periodistas le presionaron sobre las intenciones de invadir Europa más allá de Ucrania, Putin respondió: “La verdad es que nunca hemos tenido intención de hacerlo. Pero si quieren oírlo de nosotros, entonces lo documentaremos. Sin duda”. En otras palabras, Rusia estaba dispuesta a dar una garantía por escrito. Rusia no solo ha dicho que no tiene intención de invadir Europa, sino que no tiene motivos para hacerlo.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lenguaje de la guerra es imprudente. Rusia es una potencia nuclear y, sin duda, no dudará en utilizar estas armas si se siente amenazada. Pero, más allá de eso, los propios países europeos han admitido que simplemente no tienen la fuerza necesaria para llevar a cabo una guerra prolongada. El exministro de las Fuerzas Armadas del Reino Unido, John Spellar,</w:t>
      </w: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ante el Parlamento en marzo de 2024 que el Reino Unido tenía capacidad para aguantar diez días de conflicto, y la propia Comisión de Defensa del Reino Unido</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escribió</w:t>
        </w:r>
      </w:hyperlink>
      <w:r w:rsidDel="00000000" w:rsidR="00000000" w:rsidRPr="00000000">
        <w:rPr>
          <w:rFonts w:ascii="Times New Roman" w:cs="Times New Roman" w:eastAsia="Times New Roman" w:hAnsi="Times New Roman"/>
          <w:sz w:val="28"/>
          <w:szCs w:val="28"/>
          <w:rtl w:val="0"/>
        </w:rPr>
        <w:t xml:space="preserve"> que se </w:t>
      </w:r>
      <w:r w:rsidDel="00000000" w:rsidR="00000000" w:rsidRPr="00000000">
        <w:rPr>
          <w:rFonts w:ascii="Times New Roman" w:cs="Times New Roman" w:eastAsia="Times New Roman" w:hAnsi="Times New Roman"/>
          <w:sz w:val="28"/>
          <w:szCs w:val="28"/>
          <w:rtl w:val="0"/>
        </w:rPr>
        <w:t xml:space="preserve">necesitarían</w:t>
      </w:r>
      <w:r w:rsidDel="00000000" w:rsidR="00000000" w:rsidRPr="00000000">
        <w:rPr>
          <w:rFonts w:ascii="Times New Roman" w:cs="Times New Roman" w:eastAsia="Times New Roman" w:hAnsi="Times New Roman"/>
          <w:sz w:val="28"/>
          <w:szCs w:val="28"/>
          <w:rtl w:val="0"/>
        </w:rPr>
        <w:t xml:space="preserve"> muchos años para acumular reservas de municiones. Probablemente, la fuerza combinada de los ejércitos de la OTAN, incluso sin los Estados Unidos, pueda resistir una invasión rusa. Y Rusia sería tonta si pusiera a prueba el escudo nuclear que protege a Francia y al Reino Unido.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 realmente la sombra de la guerra? ¿O es esta charla sobre la guerra simplemente una forma de que políticos anacrónicos como Rutte, Carns y Pistorius se sientan relevantes en un mundo cambiado? Es hora de que personas como Rutte salgan del escenario de la historia y cedan el paso a personas que forman parte de grupos como De Vonk, personas sensibles como Chris De Ploeg, Suzanne Lugthart, Freya Chiappino, Carlos van Eck, Niels Moek, Hidde Heijnis, David Schreuders, Nina Boelsums y Jazie Veldhuyzen. A ustedes les interesa la humanidad. No en las alucinaciones de una guerra permanente.</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gr.org.uk/resources/carbon-boot-print-military-0" TargetMode="External"/><Relationship Id="rId22" Type="http://schemas.openxmlformats.org/officeDocument/2006/relationships/hyperlink" Target="https://www.telegraph.co.uk/politics/2025/12/12/britain-must-stop-relying-on-america-for-defence-al-carns/" TargetMode="External"/><Relationship Id="rId21" Type="http://schemas.openxmlformats.org/officeDocument/2006/relationships/hyperlink" Target="https://www.sgr.org.uk/resources/carbon-boot-print-military-0" TargetMode="External"/><Relationship Id="rId24" Type="http://schemas.openxmlformats.org/officeDocument/2006/relationships/hyperlink" Target="https://www.faz.net/aktuell/politik/inland/boris-pistorius-ueber-bedrohung-aus-russland-die-nato-kann-sich-wehren-accg-110781217.html" TargetMode="External"/><Relationship Id="rId23" Type="http://schemas.openxmlformats.org/officeDocument/2006/relationships/hyperlink" Target="https://www.telegraph.co.uk/politics/2025/12/12/britain-must-stop-relying-on-america-for-defence-al-car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ewpress.com/books/darker-nations" TargetMode="External"/><Relationship Id="rId26" Type="http://schemas.openxmlformats.org/officeDocument/2006/relationships/hyperlink" Target="https://www.aljazeera.com/news/2025/11/28/putin-says-he-is-ready-to-guarantee-in-writing-no-russian-attack-on-europe" TargetMode="External"/><Relationship Id="rId25" Type="http://schemas.openxmlformats.org/officeDocument/2006/relationships/hyperlink" Target="https://www.faz.net/aktuell/politik/inland/boris-pistorius-ueber-bedrohung-aus-russland-die-nato-kann-sich-wehren-accg-110781217.html" TargetMode="External"/><Relationship Id="rId28" Type="http://schemas.openxmlformats.org/officeDocument/2006/relationships/hyperlink" Target="https://publications.parliament.uk/pa/cm5804/cmselect/cmdfence/26/report.html" TargetMode="External"/><Relationship Id="rId27" Type="http://schemas.openxmlformats.org/officeDocument/2006/relationships/hyperlink" Target="https://www.standard.co.uk/news/politics/britain-army-munitions-run-out-armed-forces-defence-b1147565.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es/" TargetMode="External"/><Relationship Id="rId11" Type="http://schemas.openxmlformats.org/officeDocument/2006/relationships/hyperlink" Target="https://www.haymarketbooks.org/books/1869-struggle-makes-us-human" TargetMode="External"/><Relationship Id="rId10" Type="http://schemas.openxmlformats.org/officeDocument/2006/relationships/hyperlink" Target="https://www.versobooks.com/products/2292-the-poorer-nations" TargetMode="External"/><Relationship Id="rId13" Type="http://schemas.openxmlformats.org/officeDocument/2006/relationships/hyperlink" Target="https://capitanswing.com/libros/sobre-cuba/" TargetMode="External"/><Relationship Id="rId12" Type="http://schemas.openxmlformats.org/officeDocument/2006/relationships/hyperlink" Target="https://capitanswing.com/libros/la-retirada/" TargetMode="External"/><Relationship Id="rId15" Type="http://schemas.openxmlformats.org/officeDocument/2006/relationships/hyperlink" Target="https://inkanibooks.co.za/" TargetMode="External"/><Relationship Id="rId14" Type="http://schemas.openxmlformats.org/officeDocument/2006/relationships/hyperlink" Target="https://inkanibooks.co.za/" TargetMode="External"/><Relationship Id="rId17" Type="http://schemas.openxmlformats.org/officeDocument/2006/relationships/hyperlink" Target="https://securityconference.org/en/news/full/msc-in-berlin-keynote-by-mark-rutte/" TargetMode="External"/><Relationship Id="rId16" Type="http://schemas.openxmlformats.org/officeDocument/2006/relationships/hyperlink" Target="https://securityconference.org/en/news/full/msc-in-berlin-keynote-by-mark-rutte/" TargetMode="External"/><Relationship Id="rId19" Type="http://schemas.openxmlformats.org/officeDocument/2006/relationships/hyperlink" Target="https://www.cbs.nl/en-gb/news/2025/25/the-netherlands-ranks-7th-on-defence-expenditure-among-nato-members" TargetMode="External"/><Relationship Id="rId18" Type="http://schemas.openxmlformats.org/officeDocument/2006/relationships/hyperlink" Target="https://www.cbs.nl/en-gb/news/2025/25/the-netherlands-ranks-7th-on-defence-expenditure-among-nato-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