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La marea de la ira ha llegado a Chile</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color w:val="1155cc"/>
            <w:sz w:val="28"/>
            <w:szCs w:val="28"/>
            <w:u w:val="single"/>
            <w:rtl w:val="0"/>
          </w:rPr>
          <w:t xml:space="preserve"> 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Vijay Prashad es un historiador, editor y periodista indio. Es miembro de la redacción y corresponsal en jefe de Globetrotter. Es editor en jefe de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y director del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highlight w:val="white"/>
          <w:rtl w:val="0"/>
        </w:rPr>
        <w:t xml:space="preserve">. Ha escrito más de 20 libros, entre ellos </w:t>
      </w:r>
      <w:hyperlink r:id="rId9">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Las Naciones Oscuras</w:t>
        </w:r>
      </w:hyperlink>
      <w:r w:rsidDel="00000000" w:rsidR="00000000" w:rsidRPr="00000000">
        <w:rPr>
          <w:rFonts w:ascii="Times New Roman" w:cs="Times New Roman" w:eastAsia="Times New Roman" w:hAnsi="Times New Roman"/>
          <w:sz w:val="28"/>
          <w:szCs w:val="28"/>
          <w:highlight w:val="white"/>
          <w:rtl w:val="0"/>
        </w:rPr>
        <w:t xml:space="preserve"> y </w:t>
      </w:r>
      <w:hyperlink r:id="rId10">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Las Naciones Pobres</w:t>
        </w:r>
      </w:hyperlink>
      <w:r w:rsidDel="00000000" w:rsidR="00000000" w:rsidRPr="00000000">
        <w:rPr>
          <w:rFonts w:ascii="Times New Roman" w:cs="Times New Roman" w:eastAsia="Times New Roman" w:hAnsi="Times New Roman"/>
          <w:sz w:val="28"/>
          <w:szCs w:val="28"/>
          <w:highlight w:val="white"/>
          <w:rtl w:val="0"/>
        </w:rPr>
        <w:t xml:space="preserve">. Sus libros más recientes son </w:t>
      </w:r>
      <w:hyperlink r:id="rId11">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Luchar nos hace humanos: aprendiendo de los movimientos por el socialismo</w:t>
        </w:r>
      </w:hyperlink>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La retirada: Irak, Libia, Afganistán y la fragilidad del poder estadounidense</w:t>
        </w:r>
      </w:hyperlink>
      <w:r w:rsidDel="00000000" w:rsidR="00000000" w:rsidRPr="00000000">
        <w:rPr>
          <w:rFonts w:ascii="Times New Roman" w:cs="Times New Roman" w:eastAsia="Times New Roman" w:hAnsi="Times New Roman"/>
          <w:sz w:val="28"/>
          <w:szCs w:val="28"/>
          <w:highlight w:val="white"/>
          <w:rtl w:val="0"/>
        </w:rPr>
        <w:t xml:space="preserve"> y </w:t>
      </w:r>
      <w:hyperlink r:id="rId13">
        <w:r w:rsidDel="00000000" w:rsidR="00000000" w:rsidRPr="00000000">
          <w:rPr>
            <w:rFonts w:ascii="Times New Roman" w:cs="Times New Roman" w:eastAsia="Times New Roman" w:hAnsi="Times New Roman"/>
            <w:i w:val="1"/>
            <w:iCs w:val="1"/>
            <w:color w:val="1155cc"/>
            <w:sz w:val="28"/>
            <w:szCs w:val="28"/>
            <w:u w:val="single"/>
            <w:rtl w:val="0"/>
          </w:rPr>
          <w:t xml:space="preserve">Sobre Cuba: 70 años de Revolución y Lucha</w:t>
        </w:r>
      </w:hyperlink>
      <w:r w:rsidDel="00000000" w:rsidR="00000000" w:rsidRPr="00000000">
        <w:rPr>
          <w:rFonts w:ascii="Times New Roman" w:cs="Times New Roman" w:eastAsia="Times New Roman" w:hAnsi="Times New Roman"/>
          <w:sz w:val="28"/>
          <w:szCs w:val="28"/>
          <w:highlight w:val="white"/>
          <w:rtl w:val="0"/>
        </w:rPr>
        <w:t xml:space="preserve"> (los dos últimos en coautoría con Noam Chomsky). </w:t>
      </w:r>
      <w:r w:rsidDel="00000000" w:rsidR="00000000" w:rsidRPr="00000000">
        <w:rPr>
          <w:rFonts w:ascii="Times New Roman" w:cs="Times New Roman" w:eastAsia="Times New Roman" w:hAnsi="Times New Roman"/>
          <w:sz w:val="28"/>
          <w:szCs w:val="28"/>
          <w:rtl w:val="0"/>
        </w:rPr>
        <w:t xml:space="preserve">Chelwa y Prashad publicarán </w:t>
      </w:r>
      <w:r w:rsidDel="00000000" w:rsidR="00000000" w:rsidRPr="00000000">
        <w:rPr>
          <w:rFonts w:ascii="Times New Roman" w:cs="Times New Roman" w:eastAsia="Times New Roman" w:hAnsi="Times New Roman"/>
          <w:i w:val="1"/>
          <w:iCs w:val="1"/>
          <w:sz w:val="28"/>
          <w:szCs w:val="28"/>
          <w:rtl w:val="0"/>
        </w:rPr>
        <w:t xml:space="preserve">How the International Monetary Fund is Suffocating Africa</w:t>
      </w:r>
      <w:r w:rsidDel="00000000" w:rsidR="00000000" w:rsidRPr="00000000">
        <w:rPr>
          <w:rFonts w:ascii="Times New Roman" w:cs="Times New Roman" w:eastAsia="Times New Roman" w:hAnsi="Times New Roman"/>
          <w:sz w:val="28"/>
          <w:szCs w:val="28"/>
          <w:rtl w:val="0"/>
        </w:rPr>
        <w:t xml:space="preserve"> a finales de este año con</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Inkani Books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 </w:t>
      </w:r>
      <w:r w:rsidDel="00000000" w:rsidR="00000000" w:rsidRPr="00000000">
        <w:rPr>
          <w:rFonts w:ascii="Times New Roman" w:cs="Times New Roman" w:eastAsia="Times New Roman" w:hAnsi="Times New Roman"/>
          <w:sz w:val="28"/>
          <w:szCs w:val="28"/>
          <w:rtl w:val="0"/>
        </w:rPr>
        <w:t xml:space="preserve">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Sudamérica/Chile, Derechos humanos, Derecha, Noticias, Justicia social, Política, Economía, Historia, Elecciones presidenciales</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14 de diciembre ocurrió lo previsible: José Antonio Kast, el candidato del Partido Republicano de extrema derecha, se impuso a Jeannette Jara, del Partido Comunista de Chile, por un 58,16% frente a un 41,84%. Kast se presentó como candidato de la plataforma Cambio por Chile y contó con el respaldo de todos los partidos de la derecha tradicional y del centro-derecha. Jara, por su parte, era la candidata de Unidad por Chile, que </w:t>
      </w:r>
      <w:r w:rsidDel="00000000" w:rsidR="00000000" w:rsidRPr="00000000">
        <w:rPr>
          <w:rFonts w:ascii="Times New Roman" w:cs="Times New Roman" w:eastAsia="Times New Roman" w:hAnsi="Times New Roman"/>
          <w:sz w:val="28"/>
          <w:szCs w:val="28"/>
          <w:rtl w:val="0"/>
        </w:rPr>
        <w:t xml:space="preserve">aglutinaba</w:t>
      </w:r>
      <w:r w:rsidDel="00000000" w:rsidR="00000000" w:rsidRPr="00000000">
        <w:rPr>
          <w:rFonts w:ascii="Times New Roman" w:cs="Times New Roman" w:eastAsia="Times New Roman" w:hAnsi="Times New Roman"/>
          <w:sz w:val="28"/>
          <w:szCs w:val="28"/>
          <w:rtl w:val="0"/>
        </w:rPr>
        <w:t xml:space="preserve"> a los partidos de centroizquierda, incluido el bloque del actual presidente de Chile, Gabriel Boric, el Frente Amplio.</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primera vuelta de las elecciones, Jara había sido la candidata más votada, con un 26,58% de los votos, mientras que Kast obtuvo un 23,92%. Pero esto era engañoso. Los dos candidatos de derecha que respaldaron inmediatamente a Kast, Johannes Kaiser (con un 13,94%) y Evelyn Matthei (con un 12,46%), le proporcionaron una ventaja aritmética del 50,32%. La pregunta para Jara era si podría superar el 30%. El hecho de que acabara con más del 40% es en sí mismo un logro notable. No es fácil para la población chilena, impregnada de anticomunismo durante varias generaciones (especialmente durante la dictadura militar de 1973 a 1990), plantearse votar a una comunista para la presidencia, aunque su oponente sea un hombre de extrema derecha.</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llegada de Kast a La Moneda, el palacio presidencial, forma parte de la ola de ira que ha barrido América Latina desde El Salvador hasta Argentina. Su victoria no es del todo única. Es consecuencia del colapso de la agenda liberal que intentó mantener rígidas políticas de austeridad económica junto con programas sociales limitados, y es el resultado del fracaso de la izquierda a la hora de construir una agenda sólida que satisfaga las demandas de los levantamientos sociales que han estallado puntualmente contra la austeridad y la jerarquía.</w:t>
      </w:r>
    </w:p>
    <w:p w:rsidR="00000000" w:rsidDel="00000000" w:rsidP="00000000" w:rsidRDefault="00000000" w:rsidRPr="00000000" w14:paraId="0000000B">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El hijo de la dictadura</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José Antonio Kast es producto de la larga sombra de Chile, donde el legado sin resolver de la dictadura militar se filtra en el presente. Nacido en 1966 en el seno de una familia de inmigrantes alemanes, Kast surgió de los bastiones conservadores de la política chilena, primero como miembro de la Unión Democrática Independiente, el partido más fiel al proyecto de Augusto Pinochet. Su formación política es inseparable de esa historia: una defensa impenitente del orden neoliberal impuesto por la fuerza y un autoritarismo moral disfrazado de “tradición”.</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padre de Kast, Michael Martin Kast Schindele, sirvió en la </w:t>
      </w:r>
      <w:r w:rsidDel="00000000" w:rsidR="00000000" w:rsidRPr="00000000">
        <w:rPr>
          <w:rFonts w:ascii="Times New Roman" w:cs="Times New Roman" w:eastAsia="Times New Roman" w:hAnsi="Times New Roman"/>
          <w:i w:val="1"/>
          <w:iCs w:val="1"/>
          <w:sz w:val="28"/>
          <w:szCs w:val="28"/>
          <w:rtl w:val="0"/>
        </w:rPr>
        <w:t xml:space="preserve">Wehrmacht </w:t>
      </w:r>
      <w:r w:rsidDel="00000000" w:rsidR="00000000" w:rsidRPr="00000000">
        <w:rPr>
          <w:rFonts w:ascii="Times New Roman" w:cs="Times New Roman" w:eastAsia="Times New Roman" w:hAnsi="Times New Roman"/>
          <w:sz w:val="28"/>
          <w:szCs w:val="28"/>
          <w:rtl w:val="0"/>
        </w:rPr>
        <w:t xml:space="preserve">(el ejército alemán) y fue miembro del Partido Nazi. Tras la derrota de Alemania, Michael Kast huyó de la custodia aliada en Italia, regresó a Baviera, escapó del proceso de desnazificación de la posguerra y emigró a Argentina y luego a Chile a través de las rutas de escape del Vaticano. En Santiago, en 1950, Kast fundó una empresa de embutidos y amasó una fortuna. Su hijo mayor, Miguel Kast, un “Chicago Boy”, fue ministro de Trabajo y presidente del Banco Central bajo el gobierno militar del general Augusto Pinochet. Toda la familia apoyó a Pinochet. Cuando </w:t>
      </w:r>
      <w:r w:rsidDel="00000000" w:rsidR="00000000" w:rsidRPr="00000000">
        <w:rPr>
          <w:rFonts w:ascii="Times New Roman" w:cs="Times New Roman" w:eastAsia="Times New Roman" w:hAnsi="Times New Roman"/>
          <w:i w:val="1"/>
          <w:iCs w:val="1"/>
          <w:sz w:val="28"/>
          <w:szCs w:val="28"/>
          <w:rtl w:val="0"/>
        </w:rPr>
        <w:t xml:space="preserve">La Tercera</w:t>
      </w:r>
      <w:r w:rsidDel="00000000" w:rsidR="00000000" w:rsidRPr="00000000">
        <w:rPr>
          <w:rFonts w:ascii="Times New Roman" w:cs="Times New Roman" w:eastAsia="Times New Roman" w:hAnsi="Times New Roman"/>
          <w:sz w:val="28"/>
          <w:szCs w:val="28"/>
          <w:rtl w:val="0"/>
        </w:rPr>
        <w:t xml:space="preserve"> le preguntó sobre Pinochet en 2017, José Antonio Kast respondió: “Defendí su gobierno, pero nunca tomé siquiera un café con él. No hay que ser muy imaginativo para pensar que, si estuviera vivo, votaría por mí. Ahora bien, si me hubiera reunido con él, habríamos tomado una taza de té en La Moneda”.</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se puede responsabilizar a Kast por las acciones de su padre. Él ha dicho que el nazismo es una ideología con la que no está de acuerdo, y hay que creerle. Por otro lado, la facilidad con la que abraza la dictadura militar de Pinochet debería dar que pensar. Durante el levantamiento social en Chile en 2019, Kast se reinventó como el defensor del chileno común contra los migrantes, las feministas, los socialistas, los comunistas y las demandas mapuches contra el cruel orden social. Kast tomó prestado de la extrema derecha global: fantasías de ley y orden, nostalgia por las antiguas jerarquías de raza y género, y un desprecio despiadado por los movimientos sociales que se atreven a desafiar la desigualdad arraigada.</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que hace peligroso a Kast no es su originalidad, ya que no hay nada original en sus ideas o en su lugar en la sociedad. Es su familiaridad lo que resulta peligroso. A pesar del fin de la dictadura militar hace treinta y cinco años, las estructuras establecidas por Pinochet siguen vigentes. Esto incluye la Constitución de 1980, que ahora parece eterna porque fracasaron </w:t>
      </w:r>
      <w:r w:rsidDel="00000000" w:rsidR="00000000" w:rsidRPr="00000000">
        <w:rPr>
          <w:rFonts w:ascii="Times New Roman" w:cs="Times New Roman" w:eastAsia="Times New Roman" w:hAnsi="Times New Roman"/>
          <w:sz w:val="28"/>
          <w:szCs w:val="28"/>
          <w:rtl w:val="0"/>
        </w:rPr>
        <w:t xml:space="preserve">dos</w:t>
      </w:r>
      <w:r w:rsidDel="00000000" w:rsidR="00000000" w:rsidRPr="00000000">
        <w:rPr>
          <w:rFonts w:ascii="Times New Roman" w:cs="Times New Roman" w:eastAsia="Times New Roman" w:hAnsi="Times New Roman"/>
          <w:sz w:val="28"/>
          <w:szCs w:val="28"/>
          <w:rtl w:val="0"/>
        </w:rPr>
        <w:t xml:space="preserve"> intentos de </w:t>
      </w:r>
      <w:r w:rsidDel="00000000" w:rsidR="00000000" w:rsidRPr="00000000">
        <w:rPr>
          <w:rFonts w:ascii="Times New Roman" w:cs="Times New Roman" w:eastAsia="Times New Roman" w:hAnsi="Times New Roman"/>
          <w:sz w:val="28"/>
          <w:szCs w:val="28"/>
          <w:rtl w:val="0"/>
        </w:rPr>
        <w:t xml:space="preserve">revisarla</w:t>
      </w:r>
      <w:r w:rsidDel="00000000" w:rsidR="00000000" w:rsidRPr="00000000">
        <w:rPr>
          <w:rFonts w:ascii="Times New Roman" w:cs="Times New Roman" w:eastAsia="Times New Roman" w:hAnsi="Times New Roman"/>
          <w:sz w:val="28"/>
          <w:szCs w:val="28"/>
          <w:rtl w:val="0"/>
        </w:rPr>
        <w:t xml:space="preserve"> (en 2022 y 2023). Fundamentalmente, la realidad de Chile incluye las relaciones de propiedad reorganizadas durante la dictadura para favorecer a la oligarquía, incluidos los propios familiares de Pinochet. Durante la dictadura, Pinochet privatizó una de las principales empresas mineras, la Sociedad Química y Minera (SQM), que fue adquirida por su yerno Julio Ponce Lerou (entonces casado con su hija Verónica). Este tipo de piratería impulsada por la dictadura se mantuvo intacta tras el fin de la dictadura (la nieta de Pinochet dirige ahora la empresa).</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Estas características de la oligarquía y su consolidación durante la era Pinochet son cruciales para la prominencia y el ascenso de Kast. Él habla un lenguaje que se ha utilizado durante mucho tiempo en Chile para justificar esta desigualdad: que los mercados son sagrados, que la disciplina es una virtud y que la memoria debe ser silenciada. En momentos de crisis, figuras como Kast no surgen por casualidad. Son convocadas por las élites cuando la democracia amenaza con volverse demasiado democrática, cuando el pueblo comienza a pedir dignidad en lugar de permiso. Tomará posesión de su cargo el 11 de marzo de 2026.</w:t>
      </w:r>
    </w:p>
    <w:p w:rsidR="00000000" w:rsidDel="00000000" w:rsidP="00000000" w:rsidRDefault="00000000" w:rsidRPr="00000000" w14:paraId="00000011">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¿Volverá a levantarse Chile?</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levantamiento social masivo que comenzó en octubre de 2019 reunió a muchos sectores de la sociedad chilena que habían sentido el duro impacto de la austeridad neoliberal. No se trató de una rebelión espontánea, sino del resultado de décadas de agravios acumulados, arraigados en la desigualdad, la privatización y la humillación social, agravios que habían sido cuestionados durante mucho tiempo por diversas fuerzas sociales organizadas en movimientos y plataformas. Esa protesta condujo a la victoria del centroizquierdista Gabriel Boric en 2021, pero el Gobierno de Boric fue simplemente incapaz de romper con el consenso y proporcionar al país una nueva agenda para los nuevos tiempos. Fue casi un Gobierno interino de un presidente de derecha (Sebastián Piñera, 2010-2014 y 2018-2022) a otro. Las calles están más tranquilas ahora que en 2019, pero las condiciones estructurales que produjeron ese levantamiento no se han desmantelado.</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conocí a Boric antes de que asumiera el cargo, estaba convencido de que su gobierno sería capaz de reformar el sistema de pensiones y tal vez abordar las crisis de salud, educación y vivienda. En realidad, no se logró nada, e incluso fracasó la reforma constitucional. Al desaparecer la promesa de movilidad social para la población, en particular para los jóvenes, aumentó el descontento. El centroizquierda perdió su legitimidad y ese descontento se convirtió una vez más en desilusión. Existe una sensación generalizada de agotamiento político y traición. Las instituciones parecen incapaces de traducir las demandas populares en cambios reales, lo que refuerza la idea de que votar, aunque sea obligatorio, no puede inaugurar un mundo nuevo. Esta desmoralización es una fuerza social real, que llevó a una gran parte de los votantes de Jara a votar para bloquear a Kast en lugar de votar con entusiasmo por Jara.</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edad media en Chile es de 38 años. Muchos jóvenes chilenos entraron en la edad adulta en medio del levantamiento social de la última década, luego de una pandemia y, finalmente, de lo que parece ser una inflación permanente. Con el fracaso de la ratificación de una nueva Constitución y la victoria de Kast, esta voz joven chilena que clama por un futuro diferente sin duda se sentirá silenciada. Pero no permanecerá silenciada por mucho tiempo. Tendrá que aceptar el terrible programa de Kast: la continua militarización del territorio mapuche en el sur, la criminalización de la protesta y la expansión de un Estado que se prepara para la contención, no para la redistribución. La agenda de Kast no eliminará los disturbios, sino que los pospondrá por un tiempo, solo para agudizar su eventual regreso a las calles. Cuando Kast </w:t>
      </w:r>
      <w:r w:rsidDel="00000000" w:rsidR="00000000" w:rsidRPr="00000000">
        <w:rPr>
          <w:rFonts w:ascii="Times New Roman" w:cs="Times New Roman" w:eastAsia="Times New Roman" w:hAnsi="Times New Roman"/>
          <w:sz w:val="28"/>
          <w:szCs w:val="28"/>
          <w:rtl w:val="0"/>
        </w:rPr>
        <w:t xml:space="preserve">envíe</w:t>
      </w:r>
      <w:r w:rsidDel="00000000" w:rsidR="00000000" w:rsidRPr="00000000">
        <w:rPr>
          <w:rFonts w:ascii="Times New Roman" w:cs="Times New Roman" w:eastAsia="Times New Roman" w:hAnsi="Times New Roman"/>
          <w:sz w:val="28"/>
          <w:szCs w:val="28"/>
          <w:rtl w:val="0"/>
        </w:rPr>
        <w:t xml:space="preserve"> a la policía a golpear a los manifestantes, sus seguidores sin duda se refugiarán en el lenguaje de la legalidad, mientras que sus oponentes hablarán de la ilegitimidad del régimen. Si Kast no puede aplicar políticas para contener la inflación y el desempleo, la desigualdad aumentará y generará su propia furia.</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se produce un nuevo levantamiento social, ¿cuál será su tema central? ¿Y serán capaces sus líderes de generar un proyecto político creíble capaz de canalizar esa ira hacia la transformación? Si no existe tal proyecto, una repetición de 2019 podría pasar de la explosión a la decepción y luego al desánimo total. Dependerá de Jara y de quienes la rodean elaborar una agenda para defender los derechos constitucionales de los ciudadanos frente al gobierno de Kast y luego dar forma a un proyecto que sea creíble y deseable. El levantamiento social de 2019 no es un capítulo cerrado, sino una frase inconclusa. Dentro de esa frase inconclusa se encuentran los años de Boric (2022-2026), un retraso más que otra cosa. La dignidad sigue siendo la demanda. Puede que se reafirme, pero solo cuando se agote de nuevo la paciencia.</w:t>
      </w:r>
    </w:p>
    <w:p w:rsidR="00000000" w:rsidDel="00000000" w:rsidP="00000000" w:rsidRDefault="00000000" w:rsidRPr="00000000" w14:paraId="00000016">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haymarketbooks.org/books/1869-struggle-makes-us-human" TargetMode="External"/><Relationship Id="rId10" Type="http://schemas.openxmlformats.org/officeDocument/2006/relationships/hyperlink" Target="https://www.versobooks.com/products/2292-the-poorer-nations" TargetMode="External"/><Relationship Id="rId13" Type="http://schemas.openxmlformats.org/officeDocument/2006/relationships/hyperlink" Target="https://capitanswing.com/libros/sobre-cuba/" TargetMode="External"/><Relationship Id="rId12" Type="http://schemas.openxmlformats.org/officeDocument/2006/relationships/hyperlink" Target="https://capitanswing.com/libros/la-retirad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newpress.com/books/darker-nations" TargetMode="External"/><Relationship Id="rId15" Type="http://schemas.openxmlformats.org/officeDocument/2006/relationships/hyperlink" Target="https://inkanibooks.co.za/" TargetMode="External"/><Relationship Id="rId14" Type="http://schemas.openxmlformats.org/officeDocument/2006/relationships/hyperlink" Target="https://inkanibooks.co.za/"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