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Nuestro occidente kafkiano: del Estado de derecho a la era de los inexistentes</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Biljana Vankovska</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Biljana Vankovska es profesora de Ciencias Políticas y Relaciones Internacionales en la Universidad Ss. Cyril and Methodius de Skopje, miembro de la Fundación Transnacional para la Paz y la Investigación Futura (TFF) en Lund, Suecia, y la intelectual pública más influyente de Macedonia. Es miembro del colectivo No Cold War.</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Europa/Macedonia del Norte, Unión Europea, Norteamérica/Estados Unidos de América, Derechos Humanos, Guerra, Justicia Social, Opinión</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menudo me persigue un pasaje de </w:t>
      </w:r>
      <w:r w:rsidDel="00000000" w:rsidR="00000000" w:rsidRPr="00000000">
        <w:rPr>
          <w:rFonts w:ascii="Times New Roman" w:cs="Times New Roman" w:eastAsia="Times New Roman" w:hAnsi="Times New Roman"/>
          <w:i w:val="1"/>
          <w:iCs w:val="1"/>
          <w:sz w:val="28"/>
          <w:szCs w:val="28"/>
          <w:rtl w:val="0"/>
        </w:rPr>
        <w:t xml:space="preserve">El cuento de la criada</w:t>
      </w:r>
      <w:r w:rsidDel="00000000" w:rsidR="00000000" w:rsidRPr="00000000">
        <w:rPr>
          <w:rFonts w:ascii="Times New Roman" w:cs="Times New Roman" w:eastAsia="Times New Roman" w:hAnsi="Times New Roman"/>
          <w:sz w:val="28"/>
          <w:szCs w:val="28"/>
          <w:rtl w:val="0"/>
        </w:rPr>
        <w:t xml:space="preserve">, de Margaret Atwood: “Fue entonces cuando suspendieron la Constitución... Ni siquiera hubo disturbios en las calles. La gente se quedó en casa... viendo la televisión... Ni siquiera había un enemigo al que señalar con el ded”. Hoy en día, la lista de enemigos es larga: Rusia, China, Irán, Hamás... ¡Elijan ustedes! Nuestras pantallas han cambiado, pero nuestra pasividad no. Ya no vemos la televisión; nos desplazamos por la pantalla, distraídos y entumecidos, mientras las libertades se erosionan en silencio. Esta pasividad ha vaciado a la sociedad: lo que queda no son ciudadanos, sino masas zombificadas, sumisas y cada vez más prescindibles.</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detonante inmediato de esta reflexión es la reciente adopción por parte de la UE de las llamadas “</w:t>
      </w:r>
      <w:hyperlink r:id="rId8">
        <w:r w:rsidDel="00000000" w:rsidR="00000000" w:rsidRPr="00000000">
          <w:rPr>
            <w:rFonts w:ascii="Times New Roman" w:cs="Times New Roman" w:eastAsia="Times New Roman" w:hAnsi="Times New Roman"/>
            <w:color w:val="1155cc"/>
            <w:sz w:val="28"/>
            <w:szCs w:val="28"/>
            <w:u w:val="single"/>
            <w:rtl w:val="0"/>
          </w:rPr>
          <w:t xml:space="preserve">medidas restrictivas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defendidas por Kaja Kallas y envueltas en el “</w:t>
      </w:r>
      <w:hyperlink r:id="rId9">
        <w:r w:rsidDel="00000000" w:rsidR="00000000" w:rsidRPr="00000000">
          <w:rPr>
            <w:rFonts w:ascii="Times New Roman" w:cs="Times New Roman" w:eastAsia="Times New Roman" w:hAnsi="Times New Roman"/>
            <w:color w:val="1155cc"/>
            <w:sz w:val="28"/>
            <w:szCs w:val="28"/>
            <w:u w:val="single"/>
            <w:rtl w:val="0"/>
          </w:rPr>
          <w:t xml:space="preserve">Escudo de la Democracia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orwelliano de Ursula von der Leyen. Sin embargo, el fenómeno no es nuevo, solo más visible. El castigo silencioso y extrajudicial de individuos se ha venido desarrollando durante años. La reciente sanción a Jacques</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Baud</w:t>
        </w:r>
      </w:hyperlink>
      <w:r w:rsidDel="00000000" w:rsidR="00000000" w:rsidRPr="00000000">
        <w:rPr>
          <w:rFonts w:ascii="Times New Roman" w:cs="Times New Roman" w:eastAsia="Times New Roman" w:hAnsi="Times New Roman"/>
          <w:sz w:val="28"/>
          <w:szCs w:val="28"/>
          <w:rtl w:val="0"/>
        </w:rPr>
        <w:t xml:space="preserve">, un oficial de inteligencia suizo retirado y frecuente invitado a podcasts, perturbó a parte de los medios alternativos precisamente porque es “uno de los nuestros” (un occidental, no un disidente extranjero). Su caso no es único; es una de las casi sesenta personas que ahora están tachadas de amenazas simplemente por expresar críticas.</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qué consisten estas “medidas”? En la congelación total de sus activos, la prohibición de obtener ingresos y la revocación de su libertad de movimiento dentro de la UE. Imagínese que le cortan el acceso a su propia cuenta bancaria, que no puede trabajar y que se queda varado dondequiera que se encuentre cuando se dicta la orden. ¡Suena realmente aterrador! Orwell tenía una palabra para referirse a este tipo de personas: “no persona”.</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resulta especialmente chocante dada la imagen que la UE tiene de sí misma como “comunidad basada en valores”, exportadora de democracia y Estado de derecho. ¿Cómo se ha llegado a un punto en el que los intelectuales críticos son tratados como amenazas para la seguridad? La UE extiende su brazo punitivo más allá de sus fronteras, presionando a los Estados de los Balcanes Occidentales, en cumbres y comunicados, para que</w:t>
      </w:r>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color w:val="1155cc"/>
            <w:sz w:val="28"/>
            <w:szCs w:val="28"/>
            <w:u w:val="single"/>
            <w:rtl w:val="0"/>
          </w:rPr>
          <w:t xml:space="preserve">adopten</w:t>
        </w:r>
      </w:hyperlink>
      <w:r w:rsidDel="00000000" w:rsidR="00000000" w:rsidRPr="00000000">
        <w:rPr>
          <w:rFonts w:ascii="Times New Roman" w:cs="Times New Roman" w:eastAsia="Times New Roman" w:hAnsi="Times New Roman"/>
          <w:sz w:val="28"/>
          <w:szCs w:val="28"/>
          <w:rtl w:val="0"/>
        </w:rPr>
        <w:t xml:space="preserve"> medidas similares como condición para su alineamiento. En efecto, está diciendo: “para ser como nosotros, primero deben aprender a borrar lo suyo”. Algunos de nosotros ya somos personas no deseadas en potencia.</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Peor aún, estas medidas operan al margen de la ley. Las decisiones del Consejo de la UE en materia de política exterior y de seguridad están exentas de revisión judicial. No hay juicio, ni apelación, ni definición del delito. Actos como “difundir desinformación” o promover “narrativas prorrusas” se convierten en motivos de castigo, no porque sean delitos, sino porque se consideran inconvenientes. Esto viola principios jurídicos fundamentales: </w:t>
      </w:r>
      <w:r w:rsidDel="00000000" w:rsidR="00000000" w:rsidRPr="00000000">
        <w:rPr>
          <w:rFonts w:ascii="Times New Roman" w:cs="Times New Roman" w:eastAsia="Times New Roman" w:hAnsi="Times New Roman"/>
          <w:i w:val="1"/>
          <w:iCs w:val="1"/>
          <w:sz w:val="28"/>
          <w:szCs w:val="28"/>
          <w:rtl w:val="0"/>
        </w:rPr>
        <w:t xml:space="preserve">nullum</w:t>
      </w:r>
      <w:r w:rsidDel="00000000" w:rsidR="00000000" w:rsidRPr="00000000">
        <w:rPr>
          <w:rFonts w:ascii="Times New Roman" w:cs="Times New Roman" w:eastAsia="Times New Roman" w:hAnsi="Times New Roman"/>
          <w:i w:val="1"/>
          <w:iCs w:val="1"/>
          <w:sz w:val="28"/>
          <w:szCs w:val="28"/>
          <w:rtl w:val="0"/>
        </w:rPr>
        <w:t xml:space="preserve"> crimen sine leg</w:t>
      </w:r>
      <w:r w:rsidDel="00000000" w:rsidR="00000000" w:rsidRPr="00000000">
        <w:rPr>
          <w:rFonts w:ascii="Times New Roman" w:cs="Times New Roman" w:eastAsia="Times New Roman" w:hAnsi="Times New Roman"/>
          <w:sz w:val="28"/>
          <w:szCs w:val="28"/>
          <w:rtl w:val="0"/>
        </w:rPr>
        <w:t xml:space="preserve">e (no hay delito sin ley), la presunción de inocencia, el hábeas corpus y el derecho a un proceso justo. Estamos asistiendo al colapso de la justicia en favor del poder arbitrario. Una realidad tan absurda que resulta kafkiana.</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Lamentablemente, esto no es nada nuevo. Recordemos a Julian Assange, encarcelado por denunciar crímenes de guerra. O, más recientemente, al juez francés de la CPI Nicolas</w:t>
      </w:r>
      <w:hyperlink r:id="rId13">
        <w:r w:rsidDel="00000000" w:rsidR="00000000" w:rsidRPr="00000000">
          <w:rPr>
            <w:rFonts w:ascii="Times New Roman" w:cs="Times New Roman" w:eastAsia="Times New Roman" w:hAnsi="Times New Roman"/>
            <w:sz w:val="28"/>
            <w:szCs w:val="28"/>
            <w:rtl w:val="0"/>
          </w:rPr>
          <w:t xml:space="preserve"> </w:t>
        </w:r>
      </w:hyperlink>
      <w:hyperlink r:id="rId14">
        <w:r w:rsidDel="00000000" w:rsidR="00000000" w:rsidRPr="00000000">
          <w:rPr>
            <w:rFonts w:ascii="Times New Roman" w:cs="Times New Roman" w:eastAsia="Times New Roman" w:hAnsi="Times New Roman"/>
            <w:color w:val="1155cc"/>
            <w:sz w:val="28"/>
            <w:szCs w:val="28"/>
            <w:u w:val="single"/>
            <w:rtl w:val="0"/>
          </w:rPr>
          <w:t xml:space="preserve">Guillou</w:t>
        </w:r>
      </w:hyperlink>
      <w:r w:rsidDel="00000000" w:rsidR="00000000" w:rsidRPr="00000000">
        <w:rPr>
          <w:rFonts w:ascii="Times New Roman" w:cs="Times New Roman" w:eastAsia="Times New Roman" w:hAnsi="Times New Roman"/>
          <w:sz w:val="28"/>
          <w:szCs w:val="28"/>
          <w:rtl w:val="0"/>
        </w:rPr>
        <w:t xml:space="preserve">, sancionado por los Estados Unidos por solicitar órdenes de arresto contra líderes israelíes por Gaza. Como señaló Varoufakis, Europa no defendió a sus propios ciudadanos. Anteriormente, Alemania había</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prohibido</w:t>
        </w:r>
      </w:hyperlink>
      <w:r w:rsidDel="00000000" w:rsidR="00000000" w:rsidRPr="00000000">
        <w:rPr>
          <w:rFonts w:ascii="Times New Roman" w:cs="Times New Roman" w:eastAsia="Times New Roman" w:hAnsi="Times New Roman"/>
          <w:sz w:val="28"/>
          <w:szCs w:val="28"/>
          <w:rtl w:val="0"/>
        </w:rPr>
        <w:t xml:space="preserve"> a Varoufakis hablar sobre el genocidio; amenazas similares se dirigen a funcionarios de la ONU como Francesca Albanese. La UE, bajo el mandato de Kallas, no se ha resistido a esta deriva, sino que la ha perfeccionado, sancionando a sus propios ciudadanos junto con rusos y ucranianos. En su momento, nos burlamos de Kiev por elaborar “listas negras”</w:t>
      </w:r>
      <w:hyperlink r:id="rId17">
        <w:r w:rsidDel="00000000" w:rsidR="00000000" w:rsidRPr="00000000">
          <w:rPr>
            <w:rFonts w:ascii="Times New Roman" w:cs="Times New Roman" w:eastAsia="Times New Roman" w:hAnsi="Times New Roman"/>
            <w:sz w:val="28"/>
            <w:szCs w:val="28"/>
            <w:rtl w:val="0"/>
          </w:rPr>
          <w:t xml:space="preserve"> </w:t>
        </w:r>
      </w:hyperlink>
      <w:hyperlink r:id="rId18">
        <w:r w:rsidDel="00000000" w:rsidR="00000000" w:rsidRPr="00000000">
          <w:rPr>
            <w:rFonts w:ascii="Times New Roman" w:cs="Times New Roman" w:eastAsia="Times New Roman" w:hAnsi="Times New Roman"/>
            <w:color w:val="1155cc"/>
            <w:sz w:val="28"/>
            <w:szCs w:val="28"/>
            <w:u w:val="single"/>
            <w:rtl w:val="0"/>
          </w:rPr>
          <w:t xml:space="preserve">prorrusas</w:t>
        </w:r>
      </w:hyperlink>
      <w:r w:rsidDel="00000000" w:rsidR="00000000" w:rsidRPr="00000000">
        <w:rPr>
          <w:rFonts w:ascii="Times New Roman" w:cs="Times New Roman" w:eastAsia="Times New Roman" w:hAnsi="Times New Roman"/>
          <w:sz w:val="28"/>
          <w:szCs w:val="28"/>
          <w:rtl w:val="0"/>
        </w:rPr>
        <w:t xml:space="preserve">. Ahora, la UE se ha “</w:t>
      </w:r>
      <w:r w:rsidDel="00000000" w:rsidR="00000000" w:rsidRPr="00000000">
        <w:rPr>
          <w:rFonts w:ascii="Times New Roman" w:cs="Times New Roman" w:eastAsia="Times New Roman" w:hAnsi="Times New Roman"/>
          <w:sz w:val="28"/>
          <w:szCs w:val="28"/>
          <w:rtl w:val="0"/>
        </w:rPr>
        <w:t xml:space="preserve">ucranizado</w:t>
      </w:r>
      <w:r w:rsidDel="00000000" w:rsidR="00000000" w:rsidRPr="00000000">
        <w:rPr>
          <w:rFonts w:ascii="Times New Roman" w:cs="Times New Roman" w:eastAsia="Times New Roman" w:hAnsi="Times New Roman"/>
          <w:sz w:val="28"/>
          <w:szCs w:val="28"/>
          <w:rtl w:val="0"/>
        </w:rPr>
        <w:t xml:space="preserve">” a sí misma, adoptando y mejorando esas mismas prácticas.</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 siquiera tenemos registros ni sabemos a cuántos se ha sancionado. Una colega italiana contó recientemente cómo los fondos de su fundación fueron congelados hace años por colaborar con grupos pacifistas de Irán y Palestina. Hoy en día, la gente pierde su trabajo por llevar un keffiyeh o expresar su solidaridad con Gaza. El patrón es claro: la disidencia se está criminalizando bajo el pretexto de la seguridad.</w:t>
      </w:r>
    </w:p>
    <w:p w:rsidR="00000000" w:rsidDel="00000000" w:rsidP="00000000" w:rsidRDefault="00000000" w:rsidRPr="00000000" w14:paraId="0000000F">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culpa es nuestra</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Solo reaccionamos ante casos individuales, normalmente cuando la amenaza se acerca a nosotros. Pero se trata de una violencia sistémica contra la libertad misma. Nos recuerda la vieja advertencia: “Primero vinieron a por…”. Vivo en lo que solo puede describirse como una semicolonia de los Estados Unidos, la UE o ambos (la distinción se difumina cada día más). En el “maldito patio” de la vida política balcánica, la soberanía se cedió hace mucho tiempo, sin apenas protestas.</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cancelación es habitual. Prevalece la vieja mentalidad servil: “quédese callado; podría ser peor”. Ahora, lo peor no llega con tanques, sino con poder blando: ONGs, embajadas y proyectos tecnocráticos que reformulan la censura como “resiliencia”.</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narrativas se moldean desde el extranjero. USAID, NED y las ONG y fundaciones occidentales moldean las mentes jóvenes. Uno de mis mejores alumnos acaba de recibir un premio de derechos humanos de la embajada alemana, días después de que se dieran a conocer las “medidas restrictivas”. Se ve a sí mismo como un futuro líder, pero no dice nada sobre los derechos suspendidos en la UE que idolatra.</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Aún más alarmante es cuando las élites locales interiorizan esta lógica. El Parlamento macedonio aprobó recientemente una resolución que prohíbe a la oposición difundir “desinformación”, un eufemismo para referirse al control del pensamiento. Hace años, una ONG llevó a cabo un proyecto llamado ШТЕТ-НА (“</w:t>
      </w:r>
      <w:hyperlink r:id="rId19">
        <w:r w:rsidDel="00000000" w:rsidR="00000000" w:rsidRPr="00000000">
          <w:rPr>
            <w:rFonts w:ascii="Times New Roman" w:cs="Times New Roman" w:eastAsia="Times New Roman" w:hAnsi="Times New Roman"/>
            <w:color w:val="1155cc"/>
            <w:sz w:val="28"/>
            <w:szCs w:val="28"/>
            <w:u w:val="single"/>
            <w:rtl w:val="0"/>
          </w:rPr>
          <w:t xml:space="preserve">Harm-Tive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destinado a identificar narrativas “perjudiciales” para la democracia en un Estado en el que la democracia ya está capturada. Recientemente, el embajador del Reino Unido anunció un nuevo proyecto de dos años de duración,</w:t>
      </w:r>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TRACE</w:t>
        </w:r>
      </w:hyperlink>
      <w:r w:rsidDel="00000000" w:rsidR="00000000" w:rsidRPr="00000000">
        <w:rPr>
          <w:rFonts w:ascii="Times New Roman" w:cs="Times New Roman" w:eastAsia="Times New Roman" w:hAnsi="Times New Roman"/>
          <w:sz w:val="28"/>
          <w:szCs w:val="28"/>
          <w:rtl w:val="0"/>
        </w:rPr>
        <w:t xml:space="preserve">, en la misma línea, con el primer ministro sonriendo a su lado. La ironía es cruel: la sociedad ya está en silencio. Los intelectuales se esconden en torres de marfil o en madrigueras, o se aprovechan de la situación. Los medios de comunicación se autocensuran. La gente se limita a desplazarse por la pantalla.</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Figuras como Baud o Guillou no importan como individuos, sino como advertencias. Decir la verdad se ha convertido en algo peligroso. Hace meses, mientras ayudaba a construir una red de paz multipolar, defendí que los mecanismos de solidaridad eran esenciales, porque el compromiso con la paz es ahora un riesgo. Probablemente, algunos colegas occidentales me consideraron una cobarde o una paranoica. No sabían que mi segundo nombre es Casandra.</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mayor ironía? Aprendí el valor, el pensamiento crítico y la honestidad intelectual bajo el socialismo en Yugoslavia. El ethos de mi padre era decir la verdad al poder. Ese sigue siendo el mío. Durante décadas, impartí un curso universitario sobre el sistema político europeo y nunca dejé de entender la UE como lo que realmente es: un proyecto corporativo-colonial-imperialista encubierto con la retórica de la paz y la justicia. No porque sea particularmente inteligente, sino porque conservé la libertad infantil de declarar: el emperador está desnudo.</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Ahora que todos lo ven desnudo, ¿actuarán? ¿O se esconderán, se desplazarán y permanecerán en silencio... hasta que también vengan por ustedes?</w:t>
      </w:r>
    </w:p>
    <w:p w:rsidR="00000000" w:rsidDel="00000000" w:rsidP="00000000" w:rsidRDefault="00000000" w:rsidRPr="00000000" w14:paraId="00000017">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iks.edu.mk/en/news/integrated-national-mechanism-needed-to-respond-to-foreign-information-manipulation-and-interference/" TargetMode="External"/><Relationship Id="rId11" Type="http://schemas.openxmlformats.org/officeDocument/2006/relationships/hyperlink" Target="https://www.youtube.com/watch?v=CDONtByqQX8&amp;t=922s" TargetMode="External"/><Relationship Id="rId10" Type="http://schemas.openxmlformats.org/officeDocument/2006/relationships/hyperlink" Target="https://www.youtube.com/watch?v=CDONtByqQX8&amp;t=922s" TargetMode="External"/><Relationship Id="rId13" Type="http://schemas.openxmlformats.org/officeDocument/2006/relationships/hyperlink" Target="https://www.irishexaminer.com/opinion/commentanalysis/arid-41752575.html" TargetMode="External"/><Relationship Id="rId12" Type="http://schemas.openxmlformats.org/officeDocument/2006/relationships/hyperlink" Target="https://www.eeas.europa.eu/eeas/eu-western-balkans-summit-strengthening-security-and-stability-together_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stagram.com/fidias0/reel/DSaODKHFJCh/" TargetMode="External"/><Relationship Id="rId15" Type="http://schemas.openxmlformats.org/officeDocument/2006/relationships/hyperlink" Target="https://www.project-syndicate.org/commentary/why-germany-bans-and-arrests-israel-critics-including-jews-by-yanis-varoufakis-2024-04" TargetMode="External"/><Relationship Id="rId14" Type="http://schemas.openxmlformats.org/officeDocument/2006/relationships/hyperlink" Target="https://www.irishexaminer.com/opinion/commentanalysis/arid-41752575.html" TargetMode="External"/><Relationship Id="rId17" Type="http://schemas.openxmlformats.org/officeDocument/2006/relationships/hyperlink" Target="https://unherd.com/newsroom/ukraine-government-issues-blacklist-of-russian-propagandists/" TargetMode="External"/><Relationship Id="rId16" Type="http://schemas.openxmlformats.org/officeDocument/2006/relationships/hyperlink" Target="https://www.project-syndicate.org/commentary/why-germany-bans-and-arrests-israel-critics-including-jews-by-yanis-varoufakis-2024-04" TargetMode="External"/><Relationship Id="rId5" Type="http://schemas.openxmlformats.org/officeDocument/2006/relationships/styles" Target="styles.xml"/><Relationship Id="rId19" Type="http://schemas.openxmlformats.org/officeDocument/2006/relationships/hyperlink" Target="https://respublica.edu.mk/harmtive/?lang=en" TargetMode="External"/><Relationship Id="rId6" Type="http://schemas.openxmlformats.org/officeDocument/2006/relationships/hyperlink" Target="https://globetrotter.media/" TargetMode="External"/><Relationship Id="rId18" Type="http://schemas.openxmlformats.org/officeDocument/2006/relationships/hyperlink" Target="https://unherd.com/newsroom/ukraine-government-issues-blacklist-of-russian-propagandists/" TargetMode="External"/><Relationship Id="rId7" Type="http://schemas.openxmlformats.org/officeDocument/2006/relationships/hyperlink" Target="https://globetrotter.media/" TargetMode="External"/><Relationship Id="rId8" Type="http://schemas.openxmlformats.org/officeDocument/2006/relationships/hyperlink" Target="https://eur-lex.europa.eu/eli/dec/2025/257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