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 </w:t>
      </w:r>
      <w:r w:rsidDel="00000000" w:rsidR="00000000" w:rsidRPr="00000000">
        <w:rPr>
          <w:rFonts w:ascii="Times New Roman" w:cs="Times New Roman" w:eastAsia="Times New Roman" w:hAnsi="Times New Roman"/>
          <w:sz w:val="28"/>
          <w:szCs w:val="28"/>
          <w:rtl w:val="0"/>
        </w:rPr>
        <w:t xml:space="preserve">Entender la APEC: la guerra arancelaria de Trump</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Weilyn Lau y Jeong-eun Hwang</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y el</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International Strategy Centre</w:t>
        </w:r>
      </w:hyperlink>
      <w:r w:rsidDel="00000000" w:rsidR="00000000" w:rsidRPr="00000000">
        <w:rPr>
          <w:rFonts w:ascii="Times New Roman" w:cs="Times New Roman" w:eastAsia="Times New Roman" w:hAnsi="Times New Roman"/>
          <w:sz w:val="28"/>
          <w:szCs w:val="28"/>
          <w:rtl w:val="0"/>
        </w:rPr>
        <w:t xml:space="preserve"> (Seúl, Corea del Sur). Weilyn Lau es estudiante de Filosofía en la Universidad de Toronto. Jeong-eun Hwang es secretaria general del Centro Internacional de Estrategia y presidenta del Comité Internacional del Partido de la Justicia de la República de Corea.</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 Centro Internacional de Estrategia</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Asia/Corea del Sur, APEC, Trump, Guerra</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Dentro de unas décadas, el momento actual se verá como una época de grandes cambios: los virajes radicales están abriendo el camino hacia un mundo multipolar. En respuesta a ello, la administración Trump está librando una guerra arancelaria mundial. Mientras el mundo se encuentra en una encrucijada, los líderes del Consejo Asesor Empresarial de la APEC (fundamental para la globalización proempresarial de la APEC) exigen el retorno al antiguo “orden basado en normas”. Y aunque hay que oponerse a la extorsión arancelaria de Trump, el simple hecho de volver a la globalización capitalista no solo no resuelve, sino que intensifica nuestras crisis de catástrofes climáticas, destrucción medioambiental, crisis política y creciente desigualdad económica y estancamiento. Como parte de nuestra serie en curso sobre la comprensión de la APEC, este artículo explora la guerra arancelaria de Trump.</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confusión que siguió a la primera salva de la guerra arancelaria de Trump reveló las contradicciones y tensiones entre los diferentes sectores del capital y las economías, tanto dentro como fuera de los Estados Unidos. En los tres primeros días, los precios de las acciones se desplomaron,</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borrando 10 billones de dólares</w:t>
        </w:r>
      </w:hyperlink>
      <w:r w:rsidDel="00000000" w:rsidR="00000000" w:rsidRPr="00000000">
        <w:rPr>
          <w:rFonts w:ascii="Times New Roman" w:cs="Times New Roman" w:eastAsia="Times New Roman" w:hAnsi="Times New Roman"/>
          <w:sz w:val="28"/>
          <w:szCs w:val="28"/>
          <w:rtl w:val="0"/>
        </w:rPr>
        <w:t xml:space="preserve"> de los mercados financieros de todo el mundo. En medio del temor a un estancamiento del comercio, los países en desarrollo y desarrollados se apresuraron a negociar con la Administración Trump. La guerra arancelaria de Trump ha dado un vuelco a la ortodoxia económica, dejando al descubierto su punto ciego más evidente: la actividad económica no está impulsada por fórmulas económicas, sino por el poder. Sin embargo, aunque deben combatir la guerra arancelaria de Trump, no pueden simplemente volver a la globalización corporativa de la era pre-Trump que la alimentó y a las crisis que azotan al mundo.</w:t>
      </w:r>
    </w:p>
    <w:p w:rsidR="00000000" w:rsidDel="00000000" w:rsidP="00000000" w:rsidRDefault="00000000" w:rsidRPr="00000000" w14:paraId="0000000A">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Guerra arancelaria</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Describir la primera administración Trump como el resultado de una ola de populismo es nombrar al huevo sin la gallina. Los movimientos populistas de la década de 2010 llegaron con los vientos contrarios de la desaceleración económica y el malestar social causados por la crisis financiera de 2008. Al encontrar pocas soluciones en los tibios esfuerzos de reindustrialización de la administración Biden (caracterizados por la ineficaz</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reducción del riesgo</w:t>
        </w:r>
      </w:hyperlink>
      <w:r w:rsidDel="00000000" w:rsidR="00000000" w:rsidRPr="00000000">
        <w:rPr>
          <w:rFonts w:ascii="Times New Roman" w:cs="Times New Roman" w:eastAsia="Times New Roman" w:hAnsi="Times New Roman"/>
          <w:color w:val="1155cc"/>
          <w:sz w:val="28"/>
          <w:szCs w:val="28"/>
          <w:rtl w:val="0"/>
        </w:rPr>
        <w:t xml:space="preserve"> </w:t>
      </w:r>
      <w:r w:rsidDel="00000000" w:rsidR="00000000" w:rsidRPr="00000000">
        <w:rPr>
          <w:rFonts w:ascii="Times New Roman" w:cs="Times New Roman" w:eastAsia="Times New Roman" w:hAnsi="Times New Roman"/>
          <w:sz w:val="28"/>
          <w:szCs w:val="28"/>
          <w:rtl w:val="0"/>
        </w:rPr>
        <w:t xml:space="preserve">de las inversiones privadas en lugar del gasto público directo en sectores estratégicos), la guerra arancelaria de Trump prometía que el declive nacional podría revertirse castigando a los socios comerciales, conteniendo a los rivales económicos, explotando el dólar estadounidense y, quizás lo más significativo desde el punto de vista ideológico, devolviendo la industria manufacturera a los Estados Unidos (forzando la inversión extranjera) y abordando la deuda estadounidense con los ingresos arancelarios. Además, Trump está protegiendo las industrias básicas fundamentales para la producción y la industria armamentística (por ejemplo,</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el acero y el aluminio</w:t>
        </w:r>
      </w:hyperlink>
      <w:r w:rsidDel="00000000" w:rsidR="00000000" w:rsidRPr="00000000">
        <w:rPr>
          <w:rFonts w:ascii="Times New Roman" w:cs="Times New Roman" w:eastAsia="Times New Roman" w:hAnsi="Times New Roman"/>
          <w:sz w:val="28"/>
          <w:szCs w:val="28"/>
          <w:rtl w:val="0"/>
        </w:rPr>
        <w:t xml:space="preserve">,</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los semiconductores</w:t>
        </w:r>
      </w:hyperlink>
      <w:r w:rsidDel="00000000" w:rsidR="00000000" w:rsidRPr="00000000">
        <w:rPr>
          <w:rFonts w:ascii="Times New Roman" w:cs="Times New Roman" w:eastAsia="Times New Roman" w:hAnsi="Times New Roman"/>
          <w:sz w:val="28"/>
          <w:szCs w:val="28"/>
          <w:rtl w:val="0"/>
        </w:rPr>
        <w:t xml:space="preserve">) con aranceles prohibitivamente altos. Para hacer frente a la recesión económica provocada por la crisis financiera mundial de 2008, Trump está trasladando la carga a la clase trabajadora estadounidense y al resto del mundo.</w:t>
      </w:r>
    </w:p>
    <w:p w:rsidR="00000000" w:rsidDel="00000000" w:rsidP="00000000" w:rsidRDefault="00000000" w:rsidRPr="00000000" w14:paraId="0000000C">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 estrategia arancelaria de Trump</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estrategia arancelaria de Trump tiene tres componentes: aranceles universales del 10%, aranceles recíprocos a los países con superávit comercial y aranceles prohibitivos a sectores y artículos estratégicos. Los aranceles universales del 10% se aplicaron el 2 de abril como parte del día de la liberación de Trump. El 9 de abril, anunció aranceles recíprocos contra 57 países con superávit comercial con los Estados Unidos. Por ejemplo, se impusieron aranceles del 25% a todos los productos de Corea del Sur (a partir del 1 de agosto) debido a su superávit comercial de 66.000 millones de dólares. En julio, se negociaron hasta el 15%. Es importante señalar el impacto de la estrategia arancelaria de Trump en la psique de los países. La “diplomacia pragmática” de Lee fue elogiada por lograr los niveles arancelarios de Japón y la UE. Sin embargo, esos elogios ocultan la realidad de que, a diferencia de Japón y la UE, los aranceles del 0% de Corea del Sur fueron el resultado de un acuerdo de libre comercio con los Estados Unidos que ya implicaba importantes concesiones por parte de Corea (por ejemplo, la adopción del sistema de resolución de controversias entre inversores y Estados). Además, Lee prometió 350.000 millones de dólares en inversiones y la compra de 100.000 millones de dólares en combustibles fósiles estadounidenses. En tercer lugar, los artículos estratégicos mantuvieron sus aranceles prohibitivos. La administración Trump mantuvo aranceles del 50% sobre el acero y el aluminio coreanos y del 25% sobre los automóviles y las piezas coreanas.</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más grave es que los Estados Unidos impuso aranceles por motivos políticos, como los aranceles del 25% a</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la India</w:t>
        </w:r>
      </w:hyperlink>
      <w:r w:rsidDel="00000000" w:rsidR="00000000" w:rsidRPr="00000000">
        <w:rPr>
          <w:rFonts w:ascii="Times New Roman" w:cs="Times New Roman" w:eastAsia="Times New Roman" w:hAnsi="Times New Roman"/>
          <w:sz w:val="28"/>
          <w:szCs w:val="28"/>
          <w:rtl w:val="0"/>
        </w:rPr>
        <w:t xml:space="preserve"> por comprar energía rusa. A pesar de tener un déficit comercial con los Estados Unidos, Brasil se enfrentó a un arancel del 50% por procesar al expresidente</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Bolsonaro</w:t>
        </w:r>
      </w:hyperlink>
      <w:r w:rsidDel="00000000" w:rsidR="00000000" w:rsidRPr="00000000">
        <w:rPr>
          <w:rFonts w:ascii="Times New Roman" w:cs="Times New Roman" w:eastAsia="Times New Roman" w:hAnsi="Times New Roman"/>
          <w:sz w:val="28"/>
          <w:szCs w:val="28"/>
          <w:rtl w:val="0"/>
        </w:rPr>
        <w:t xml:space="preserve"> (aliado de Trump) por planear un autogolpe.</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panorama general de los aranceles de Trump es la transición de Estados Unidos a un mundo multipolar mediante la vinculación de “</w:t>
      </w:r>
      <w:hyperlink r:id="rId22">
        <w:r w:rsidDel="00000000" w:rsidR="00000000" w:rsidRPr="00000000">
          <w:rPr>
            <w:rFonts w:ascii="Times New Roman" w:cs="Times New Roman" w:eastAsia="Times New Roman" w:hAnsi="Times New Roman"/>
            <w:color w:val="1155cc"/>
            <w:sz w:val="28"/>
            <w:szCs w:val="28"/>
            <w:u w:val="single"/>
            <w:rtl w:val="0"/>
          </w:rPr>
          <w:t xml:space="preserve">las alianzas económicas y de seguridad... para incentivar un comportamiento que se ajuste a los intereses estadounidenses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En efecto, la estrategia consiste en convertir a los aliados en</w:t>
      </w:r>
      <w:hyperlink r:id="rId23">
        <w:r w:rsidDel="00000000" w:rsidR="00000000" w:rsidRPr="00000000">
          <w:rPr>
            <w:rFonts w:ascii="Times New Roman" w:cs="Times New Roman" w:eastAsia="Times New Roman" w:hAnsi="Times New Roman"/>
            <w:sz w:val="28"/>
            <w:szCs w:val="28"/>
            <w:rtl w:val="0"/>
          </w:rPr>
          <w:t xml:space="preserve"> </w:t>
        </w:r>
      </w:hyperlink>
      <w:hyperlink r:id="rId24">
        <w:r w:rsidDel="00000000" w:rsidR="00000000" w:rsidRPr="00000000">
          <w:rPr>
            <w:rFonts w:ascii="Times New Roman" w:cs="Times New Roman" w:eastAsia="Times New Roman" w:hAnsi="Times New Roman"/>
            <w:color w:val="1155cc"/>
            <w:sz w:val="28"/>
            <w:szCs w:val="28"/>
            <w:u w:val="single"/>
            <w:rtl w:val="0"/>
          </w:rPr>
          <w:t xml:space="preserve">estados vasallos</w:t>
        </w:r>
      </w:hyperlink>
      <w:r w:rsidDel="00000000" w:rsidR="00000000" w:rsidRPr="00000000">
        <w:rPr>
          <w:rFonts w:ascii="Times New Roman" w:cs="Times New Roman" w:eastAsia="Times New Roman" w:hAnsi="Times New Roman"/>
          <w:color w:val="1155cc"/>
          <w:sz w:val="28"/>
          <w:szCs w:val="28"/>
          <w:rtl w:val="0"/>
        </w:rPr>
        <w:t xml:space="preserve"> </w:t>
      </w:r>
      <w:r w:rsidDel="00000000" w:rsidR="00000000" w:rsidRPr="00000000">
        <w:rPr>
          <w:rFonts w:ascii="Times New Roman" w:cs="Times New Roman" w:eastAsia="Times New Roman" w:hAnsi="Times New Roman"/>
          <w:sz w:val="28"/>
          <w:szCs w:val="28"/>
          <w:rtl w:val="0"/>
        </w:rPr>
        <w:t xml:space="preserve">y aislar a los adversarios.</w:t>
      </w:r>
      <w:hyperlink r:id="rId25">
        <w:r w:rsidDel="00000000" w:rsidR="00000000" w:rsidRPr="00000000">
          <w:rPr>
            <w:rFonts w:ascii="Times New Roman" w:cs="Times New Roman" w:eastAsia="Times New Roman" w:hAnsi="Times New Roman"/>
            <w:sz w:val="28"/>
            <w:szCs w:val="28"/>
            <w:rtl w:val="0"/>
          </w:rPr>
          <w:t xml:space="preserve"> </w:t>
        </w:r>
      </w:hyperlink>
      <w:hyperlink r:id="rId26">
        <w:r w:rsidDel="00000000" w:rsidR="00000000" w:rsidRPr="00000000">
          <w:rPr>
            <w:rFonts w:ascii="Times New Roman" w:cs="Times New Roman" w:eastAsia="Times New Roman" w:hAnsi="Times New Roman"/>
            <w:color w:val="1155cc"/>
            <w:sz w:val="28"/>
            <w:szCs w:val="28"/>
            <w:u w:val="single"/>
            <w:rtl w:val="0"/>
          </w:rPr>
          <w:t xml:space="preserve">Defendido</w:t>
        </w:r>
      </w:hyperlink>
      <w:r w:rsidDel="00000000" w:rsidR="00000000" w:rsidRPr="00000000">
        <w:rPr>
          <w:rFonts w:ascii="Times New Roman" w:cs="Times New Roman" w:eastAsia="Times New Roman" w:hAnsi="Times New Roman"/>
          <w:sz w:val="28"/>
          <w:szCs w:val="28"/>
          <w:rtl w:val="0"/>
        </w:rPr>
        <w:t xml:space="preserve"> por el secretario del Tesoro, Scott Bessent, y el presidente del Consejo de Asesores Económicos, Stephen Miran, este Acuerdo de Mar-A-Lago utiliza la fuerza política (como en el Acuerdo del Plaza de 1985) para mantener el dólar estadounidense como moneda de reserva mundial, al tiempo que deprecia su valor (para promover las exportaciones estadounidenses) mediante la fuerza política.</w:t>
      </w:r>
    </w:p>
    <w:p w:rsidR="00000000" w:rsidDel="00000000" w:rsidP="00000000" w:rsidRDefault="00000000" w:rsidRPr="00000000" w14:paraId="00000010">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Impacto de los aranceles de Trump</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w:t>
      </w:r>
      <w:hyperlink r:id="rId27">
        <w:r w:rsidDel="00000000" w:rsidR="00000000" w:rsidRPr="00000000">
          <w:rPr>
            <w:rFonts w:ascii="Times New Roman" w:cs="Times New Roman" w:eastAsia="Times New Roman" w:hAnsi="Times New Roman"/>
            <w:sz w:val="28"/>
            <w:szCs w:val="28"/>
            <w:rtl w:val="0"/>
          </w:rPr>
          <w:t xml:space="preserve"> </w:t>
        </w:r>
      </w:hyperlink>
      <w:hyperlink r:id="rId28">
        <w:r w:rsidDel="00000000" w:rsidR="00000000" w:rsidRPr="00000000">
          <w:rPr>
            <w:rFonts w:ascii="Times New Roman" w:cs="Times New Roman" w:eastAsia="Times New Roman" w:hAnsi="Times New Roman"/>
            <w:color w:val="1155cc"/>
            <w:sz w:val="28"/>
            <w:szCs w:val="28"/>
            <w:u w:val="single"/>
            <w:rtl w:val="0"/>
          </w:rPr>
          <w:t xml:space="preserve">examinar</w:t>
        </w:r>
      </w:hyperlink>
      <w:r w:rsidDel="00000000" w:rsidR="00000000" w:rsidRPr="00000000">
        <w:rPr>
          <w:rFonts w:ascii="Times New Roman" w:cs="Times New Roman" w:eastAsia="Times New Roman" w:hAnsi="Times New Roman"/>
          <w:sz w:val="28"/>
          <w:szCs w:val="28"/>
          <w:rtl w:val="0"/>
        </w:rPr>
        <w:t xml:space="preserve"> el impacto de los aranceles de Trump basándose en el tipo arancelario medio, la sensibilidad de los precios de las exportaciones y la dependencia del mercado estadounidense, los países menos afectados serán los de Europa occidental. Los impactos más directos y brutales se producirán en los países en desarrollo. Un caso excepcional es el de Lesoto, país sin litoral, objetivo por su superávit comercial. Una de sus industrias principales es la fabricación de ropa deportiva para minoristas estadounidenses (por ejemplo, JC Penney, Walmart, Costco). Los aranceles de Trump han trastocado por completo la Ley de Crecimiento y Oportunidades para África de 2000, que </w:t>
      </w:r>
      <w:r w:rsidDel="00000000" w:rsidR="00000000" w:rsidRPr="00000000">
        <w:rPr>
          <w:rFonts w:ascii="Times New Roman" w:cs="Times New Roman" w:eastAsia="Times New Roman" w:hAnsi="Times New Roman"/>
          <w:sz w:val="28"/>
          <w:szCs w:val="28"/>
          <w:rtl w:val="0"/>
        </w:rPr>
        <w:t xml:space="preserve">eximía</w:t>
      </w:r>
      <w:r w:rsidDel="00000000" w:rsidR="00000000" w:rsidRPr="00000000">
        <w:rPr>
          <w:rFonts w:ascii="Times New Roman" w:cs="Times New Roman" w:eastAsia="Times New Roman" w:hAnsi="Times New Roman"/>
          <w:sz w:val="28"/>
          <w:szCs w:val="28"/>
          <w:rtl w:val="0"/>
        </w:rPr>
        <w:t xml:space="preserve"> de aranceles a Lesoto y otras naciones africanas. Con</w:t>
      </w:r>
      <w:hyperlink r:id="rId29">
        <w:r w:rsidDel="00000000" w:rsidR="00000000" w:rsidRPr="00000000">
          <w:rPr>
            <w:rFonts w:ascii="Times New Roman" w:cs="Times New Roman" w:eastAsia="Times New Roman" w:hAnsi="Times New Roman"/>
            <w:sz w:val="28"/>
            <w:szCs w:val="28"/>
            <w:rtl w:val="0"/>
          </w:rPr>
          <w:t xml:space="preserve"> </w:t>
        </w:r>
      </w:hyperlink>
      <w:hyperlink r:id="rId30">
        <w:r w:rsidDel="00000000" w:rsidR="00000000" w:rsidRPr="00000000">
          <w:rPr>
            <w:rFonts w:ascii="Times New Roman" w:cs="Times New Roman" w:eastAsia="Times New Roman" w:hAnsi="Times New Roman"/>
            <w:color w:val="1155cc"/>
            <w:sz w:val="28"/>
            <w:szCs w:val="28"/>
            <w:u w:val="single"/>
            <w:rtl w:val="0"/>
          </w:rPr>
          <w:t xml:space="preserve">casi la mitad</w:t>
        </w:r>
      </w:hyperlink>
      <w:r w:rsidDel="00000000" w:rsidR="00000000" w:rsidRPr="00000000">
        <w:rPr>
          <w:rFonts w:ascii="Times New Roman" w:cs="Times New Roman" w:eastAsia="Times New Roman" w:hAnsi="Times New Roman"/>
          <w:sz w:val="28"/>
          <w:szCs w:val="28"/>
          <w:rtl w:val="0"/>
        </w:rPr>
        <w:t xml:space="preserve"> de su población viviendo por debajo del umbral de la pobreza, Lesoto no puede importar más productos estadounidenses. Como resultado de los aranceles, las fábricas han despedido a empleados. Con una tasa de desempleo ya elevada, en torno al 30%, la amenaza de los aranceles ha agravado los problemas de desempleo del país, lo que ha llevado al gobierno a</w:t>
      </w:r>
      <w:hyperlink r:id="rId31">
        <w:r w:rsidDel="00000000" w:rsidR="00000000" w:rsidRPr="00000000">
          <w:rPr>
            <w:rFonts w:ascii="Times New Roman" w:cs="Times New Roman" w:eastAsia="Times New Roman" w:hAnsi="Times New Roman"/>
            <w:sz w:val="28"/>
            <w:szCs w:val="28"/>
            <w:rtl w:val="0"/>
          </w:rPr>
          <w:t xml:space="preserve"> </w:t>
        </w:r>
      </w:hyperlink>
      <w:hyperlink r:id="rId32">
        <w:r w:rsidDel="00000000" w:rsidR="00000000" w:rsidRPr="00000000">
          <w:rPr>
            <w:rFonts w:ascii="Times New Roman" w:cs="Times New Roman" w:eastAsia="Times New Roman" w:hAnsi="Times New Roman"/>
            <w:color w:val="1155cc"/>
            <w:sz w:val="28"/>
            <w:szCs w:val="28"/>
            <w:u w:val="single"/>
            <w:rtl w:val="0"/>
          </w:rPr>
          <w:t xml:space="preserve">declarar el estado de catástrofe</w:t>
        </w:r>
      </w:hyperlink>
      <w:r w:rsidDel="00000000" w:rsidR="00000000" w:rsidRPr="00000000">
        <w:rPr>
          <w:rFonts w:ascii="Times New Roman" w:cs="Times New Roman" w:eastAsia="Times New Roman" w:hAnsi="Times New Roman"/>
          <w:sz w:val="28"/>
          <w:szCs w:val="28"/>
          <w:rtl w:val="0"/>
        </w:rPr>
        <w:t xml:space="preserve"> en julio. Incluso con el tipo arancelario modificado del 15%, los aranceles de Trump</w:t>
      </w:r>
      <w:hyperlink r:id="rId33">
        <w:r w:rsidDel="00000000" w:rsidR="00000000" w:rsidRPr="00000000">
          <w:rPr>
            <w:rFonts w:ascii="Times New Roman" w:cs="Times New Roman" w:eastAsia="Times New Roman" w:hAnsi="Times New Roman"/>
            <w:sz w:val="28"/>
            <w:szCs w:val="28"/>
            <w:rtl w:val="0"/>
          </w:rPr>
          <w:t xml:space="preserve"> </w:t>
        </w:r>
      </w:hyperlink>
      <w:hyperlink r:id="rId34">
        <w:r w:rsidDel="00000000" w:rsidR="00000000" w:rsidRPr="00000000">
          <w:rPr>
            <w:rFonts w:ascii="Times New Roman" w:cs="Times New Roman" w:eastAsia="Times New Roman" w:hAnsi="Times New Roman"/>
            <w:color w:val="1155cc"/>
            <w:sz w:val="28"/>
            <w:szCs w:val="28"/>
            <w:u w:val="single"/>
            <w:rtl w:val="0"/>
          </w:rPr>
          <w:t xml:space="preserve">ya han</w:t>
        </w:r>
      </w:hyperlink>
      <w:r w:rsidDel="00000000" w:rsidR="00000000" w:rsidRPr="00000000">
        <w:rPr>
          <w:rFonts w:ascii="Times New Roman" w:cs="Times New Roman" w:eastAsia="Times New Roman" w:hAnsi="Times New Roman"/>
          <w:sz w:val="28"/>
          <w:szCs w:val="28"/>
          <w:rtl w:val="0"/>
        </w:rPr>
        <w:t xml:space="preserve"> arruinado la economía de Lesoto y empobrecido a su población.</w:t>
      </w:r>
    </w:p>
    <w:p w:rsidR="00000000" w:rsidDel="00000000" w:rsidP="00000000" w:rsidRDefault="00000000" w:rsidRPr="00000000" w14:paraId="00000012">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Nuestra respuesta a los aranceles de Trump</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combatir la guerra arancelaria de Trump, debemos cuestionar la narrativa que rodea a la guerra arancelaria de la administración Trump. Esa administración presenta sus negociaciones arancelarias como necesarias para corregir los déficits comerciales acumulados a través del “saqueo de los Estados Unidos”. Sin embargo, a menudo los aranceles se eliminaron mediante acuerdos de libre comercio o mediante concesiones económicas más amplias por parte de los países socios (por ejemplo, la adopción por parte de Corea del Sur de disposiciones tóxicas en el Acuerdo de Libre Comercio entre Corea y los Estados Unidos). En última instancia, al imponer aranceles de forma unilateral, Estados Unidos destruye las vidas no solo de sus propios ciudadanos, sino también de personas de todo el mundo. Este análisis debe alimentar la lucha contra la guerra arancelaria de la administración Trump. Aunque muchos medios de comunicación explican en detalle cómo los aranceles de Trump son unilaterales e injustos, la lucha contra su administración sigue siendo débil. Quizás esto se deba a que el daño aún no se ha extendido. Antes de que eso ocurra, deben reunir las voces de todo el mundo que se oponen a las políticas injustas de la administración Trump para luchar en solidaridad unos con otros. Por último, deben presentar una economía desde la izquierda. Los precios de los alimentos, la pérdida de puestos de trabajo y el desarrollo económico son, en esencia, decisiones políticas. Sus movimientos deben luchar por una vida digna. En medio de la incertidumbre, pueden sentar las bases para afirmar un nuevo futuro.</w:t>
      </w:r>
    </w:p>
    <w:p w:rsidR="00000000" w:rsidDel="00000000" w:rsidP="00000000" w:rsidRDefault="00000000" w:rsidRPr="00000000" w14:paraId="00000014">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bbc.com/news/articles/c5yl00qlyz9o#:~:text=In%20July%2C%20Trump%20announced%20he%20would%20raise%20tariffs%20on%20Brazilian%20imports%20to%2050%25%2C%20citing%20Brazil%27s%20treatment%20of%20Jair%20Bolsonaro%20as%20a%20trigger%20for%20the%20hike." TargetMode="External"/><Relationship Id="rId22" Type="http://schemas.openxmlformats.org/officeDocument/2006/relationships/hyperlink" Target="https://www.economist.com/by-invitation/2024/10/23/the-international-economic-system-needs-a-readjustment-writes-scott-bessent?utm_medium=cpc.adword.pd&amp;utm_source=google&amp;ppccampaignID=22628386698&amp;ppcadID=&amp;utm_campaign=a.22brand_pmax&amp;utm_content=conversion.direct-response.anonymous&amp;gclsrc=aw.ds&amp;gad_source=1&amp;gad_campaignid=22634603453&amp;gbraid=0AAAAADBuq3KCUarvSJUR9NBcVuVgeU_Cw&amp;gclid=Cj0KCQjwovPGBhDxARIsAFhgkwSEVS_lzQpyJds5jARBxGKcfJvX8BHdRMA5DcueD-n-toClRKAJNCgaApA1EALw_wcB" TargetMode="External"/><Relationship Id="rId21" Type="http://schemas.openxmlformats.org/officeDocument/2006/relationships/hyperlink" Target="https://www.bbc.com/news/articles/c5yl00qlyz9o#:~:text=In%20July%2C%20Trump%20announced%20he%20would%20raise%20tariffs%20on%20Brazilian%20imports%20to%2050%25%2C%20citing%20Brazil%27s%20treatment%20of%20Jair%20Bolsonaro%20as%20a%20trigger%20for%20the%20hike." TargetMode="External"/><Relationship Id="rId24" Type="http://schemas.openxmlformats.org/officeDocument/2006/relationships/hyperlink" Target="https://www.youtube.com/watch?v=1ts5wJ6OfzA&amp;t=13s" TargetMode="External"/><Relationship Id="rId23" Type="http://schemas.openxmlformats.org/officeDocument/2006/relationships/hyperlink" Target="https://www.youtube.com/watch?v=1ts5wJ6OfzA&amp;t=13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isc.org/home" TargetMode="External"/><Relationship Id="rId26" Type="http://schemas.openxmlformats.org/officeDocument/2006/relationships/hyperlink" Target="https://www.youtube.com/watch?v=1ts5wJ6OfzA&amp;t=13s" TargetMode="External"/><Relationship Id="rId25" Type="http://schemas.openxmlformats.org/officeDocument/2006/relationships/hyperlink" Target="https://www.youtube.com/watch?v=1ts5wJ6OfzA&amp;t=13s" TargetMode="External"/><Relationship Id="rId28" Type="http://schemas.openxmlformats.org/officeDocument/2006/relationships/hyperlink" Target="https://www.economist.com/finance-and-economics/2025/07/27/whos-feeling-the-pain-of-trumps-tariffs" TargetMode="External"/><Relationship Id="rId27" Type="http://schemas.openxmlformats.org/officeDocument/2006/relationships/hyperlink" Target="https://www.economist.com/finance-and-economics/2025/07/27/whos-feeling-the-pain-of-trumps-tariffs"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databankfiles.worldbank.org/public/ddpext_download/poverty/987B9C90-CB9F-4D93-AE8C-750588BF00QA/current/Global_POVEQ_LSO.pdf" TargetMode="External"/><Relationship Id="rId7" Type="http://schemas.openxmlformats.org/officeDocument/2006/relationships/hyperlink" Target="https://globetrotter.media/" TargetMode="External"/><Relationship Id="rId8" Type="http://schemas.openxmlformats.org/officeDocument/2006/relationships/hyperlink" Target="https://www.goisc.org/home" TargetMode="External"/><Relationship Id="rId31" Type="http://schemas.openxmlformats.org/officeDocument/2006/relationships/hyperlink" Target="https://www.bbc.com/news/articles/cgeqe09wnn8o#:~:text=But%20the%20uncertainty%20over%20the%20future%20of%20the%20country%27s%20clothes%20industry%20is%20one%20reason%20why%20Lesotho%20declared%20a%20national%20%22state%20of%20disaster%22%20earlier%20this%20month%20in%20order%20to%20speed%20up%20job%2Dcreation." TargetMode="External"/><Relationship Id="rId30" Type="http://schemas.openxmlformats.org/officeDocument/2006/relationships/hyperlink" Target="https://databankfiles.worldbank.org/public/ddpext_download/poverty/987B9C90-CB9F-4D93-AE8C-750588BF00QA/current/Global_POVEQ_LSO.pdf" TargetMode="External"/><Relationship Id="rId11" Type="http://schemas.openxmlformats.org/officeDocument/2006/relationships/hyperlink" Target="https://www.aljazeera.com/economy/2025/4/9/eight-charts-that-reveal-the-economic-impact-of-trumps-tariffs" TargetMode="External"/><Relationship Id="rId33" Type="http://schemas.openxmlformats.org/officeDocument/2006/relationships/hyperlink" Target="https://www.nytimes.com/2025/08/01/world/africa/lesotho-tariffs-textile-industry.html" TargetMode="External"/><Relationship Id="rId10" Type="http://schemas.openxmlformats.org/officeDocument/2006/relationships/hyperlink" Target="https://www.aljazeera.com/economy/2025/4/9/eight-charts-that-reveal-the-economic-impact-of-trumps-tariffs" TargetMode="External"/><Relationship Id="rId32" Type="http://schemas.openxmlformats.org/officeDocument/2006/relationships/hyperlink" Target="https://www.bbc.com/news/articles/cgeqe09wnn8o#:~:text=But%20the%20uncertainty%20over%20the%20future%20of%20the%20country%27s%20clothes%20industry%20is%20one%20reason%20why%20Lesotho%20declared%20a%20national%20%22state%20of%20disaster%22%20earlier%20this%20month%20in%20order%20to%20speed%20up%20job%2Dcreation." TargetMode="External"/><Relationship Id="rId13" Type="http://schemas.openxmlformats.org/officeDocument/2006/relationships/hyperlink" Target="https://www.phenomenalworld.org/interviews/bidenomics/#:~:text=With%20derisking%2C%20because%20the%20logic%20is%20of%20partnerships%20for%20investability%2C%20the%20state%20cannot%20discipline%20private%20capital%20into%20strategic%20priorities%20when%20market%20conditions%20change%20or%20when%20profitability%20conditions%20change%E2%80%94which%20is%20precisely%20what%20a%20big%20green%20state%20can%20do." TargetMode="External"/><Relationship Id="rId12" Type="http://schemas.openxmlformats.org/officeDocument/2006/relationships/hyperlink" Target="https://www.phenomenalworld.org/interviews/bidenomics/#:~:text=With%20derisking%2C%20because%20the%20logic%20is%20of%20partnerships%20for%20investability%2C%20the%20state%20cannot%20discipline%20private%20capital%20into%20strategic%20priorities%20when%20market%20conditions%20change%20or%20when%20profitability%20conditions%20change%E2%80%94which%20is%20precisely%20what%20a%20big%20green%20state%20can%20do." TargetMode="External"/><Relationship Id="rId34" Type="http://schemas.openxmlformats.org/officeDocument/2006/relationships/hyperlink" Target="https://www.nytimes.com/2025/08/01/world/africa/lesotho-tariffs-textile-industry.html" TargetMode="External"/><Relationship Id="rId15" Type="http://schemas.openxmlformats.org/officeDocument/2006/relationships/hyperlink" Target="https://www.abnamro.com/research/en/our-research/what-does-the-new-50-steel-and-aluminium-tariff-mean-for-europe#:~:text=%E2%80%9C%5BIf%5D%20It%27s%20at%2025%25%20%2D%20they%20can%20get%20over%20that%20fence.%20At%2050%25%2C%20they%20can%20no%20longer%20get%20over%20the%20fence.%22" TargetMode="External"/><Relationship Id="rId14" Type="http://schemas.openxmlformats.org/officeDocument/2006/relationships/hyperlink" Target="https://www.abnamro.com/research/en/our-research/what-does-the-new-50-steel-and-aluminium-tariff-mean-for-europe#:~:text=%E2%80%9C%5BIf%5D%20It%27s%20at%2025%25%20%2D%20they%20can%20get%20over%20that%20fence.%20At%2050%25%2C%20they%20can%20no%20longer%20get%20over%20the%20fence.%22" TargetMode="External"/><Relationship Id="rId17" Type="http://schemas.openxmlformats.org/officeDocument/2006/relationships/hyperlink" Target="https://www.bworldonline.com/top-stories/2025/08/21/692830/trumps-300-chip-tariffs-would-be-prohibitive-says-balisacan/#:~:text=%E2%80%9CIf%20a%20100%25%20tariff%20is%20already%20considered%20prohibitive%20%E2%80%94%20effectively%20eliminating%20imports%20%E2%80%94%20then%20any%20figure%20beyond%20that%20becomes%20superfluous%2C%E2%80%9D" TargetMode="External"/><Relationship Id="rId16" Type="http://schemas.openxmlformats.org/officeDocument/2006/relationships/hyperlink" Target="https://www.bworldonline.com/top-stories/2025/08/21/692830/trumps-300-chip-tariffs-would-be-prohibitive-says-balisacan/#:~:text=%E2%80%9CIf%20a%20100%25%20tariff%20is%20already%20considered%20prohibitive%20%E2%80%94%20effectively%20eliminating%20imports%20%E2%80%94%20then%20any%20figure%20beyond%20that%20becomes%20superfluous%2C%E2%80%9D" TargetMode="External"/><Relationship Id="rId19" Type="http://schemas.openxmlformats.org/officeDocument/2006/relationships/hyperlink" Target="https://www.reuters.com/world/china/bessent-says-us-wont-hit-china-with-tariffs-over-russian-oil-unless-europe-goes-2025-09-15/" TargetMode="External"/><Relationship Id="rId18" Type="http://schemas.openxmlformats.org/officeDocument/2006/relationships/hyperlink" Target="https://www.reuters.com/world/china/bessent-says-us-wont-hit-china-with-tariffs-over-russian-oil-unless-europe-goes-2025-0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