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Los poderosos que apoyan a Israel</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Vijay Prashad</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Biografía del autor: </w:t>
      </w:r>
      <w:r w:rsidDel="00000000" w:rsidR="00000000" w:rsidRPr="00000000">
        <w:rPr>
          <w:rFonts w:ascii="Times New Roman" w:cs="Times New Roman" w:eastAsia="Times New Roman" w:hAnsi="Times New Roman"/>
          <w:sz w:val="28"/>
          <w:szCs w:val="28"/>
          <w:rtl w:val="0"/>
        </w:rPr>
        <w:t xml:space="preserve">Este artículo ha sido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Este artículo fue producido por </w:t>
      </w:r>
      <w:hyperlink r:id="rId8">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Vijay Prashad es un historiador, editor y periodista indio. Es miembro de la redacción y corresponsal en jefe de Globetrotter. Es editor en jefe de </w:t>
      </w:r>
      <w:hyperlink r:id="rId9">
        <w:r w:rsidDel="00000000" w:rsidR="00000000" w:rsidRPr="00000000">
          <w:rPr>
            <w:rFonts w:ascii="Times New Roman" w:cs="Times New Roman" w:eastAsia="Times New Roman" w:hAnsi="Times New Roman"/>
            <w:color w:val="1155cc"/>
            <w:sz w:val="28"/>
            <w:szCs w:val="28"/>
            <w:highlight w:val="white"/>
            <w:u w:val="single"/>
            <w:rtl w:val="0"/>
          </w:rPr>
          <w:t xml:space="preserve">LeftWord Books</w:t>
        </w:r>
      </w:hyperlink>
      <w:r w:rsidDel="00000000" w:rsidR="00000000" w:rsidRPr="00000000">
        <w:rPr>
          <w:rFonts w:ascii="Times New Roman" w:cs="Times New Roman" w:eastAsia="Times New Roman" w:hAnsi="Times New Roman"/>
          <w:sz w:val="28"/>
          <w:szCs w:val="28"/>
          <w:highlight w:val="white"/>
          <w:rtl w:val="0"/>
        </w:rPr>
        <w:t xml:space="preserve"> y director del </w:t>
      </w:r>
      <w:hyperlink r:id="rId10">
        <w:r w:rsidDel="00000000" w:rsidR="00000000" w:rsidRPr="00000000">
          <w:rPr>
            <w:rFonts w:ascii="Times New Roman" w:cs="Times New Roman" w:eastAsia="Times New Roman" w:hAnsi="Times New Roman"/>
            <w:color w:val="1155cc"/>
            <w:sz w:val="28"/>
            <w:szCs w:val="28"/>
            <w:highlight w:val="white"/>
            <w:u w:val="single"/>
            <w:rtl w:val="0"/>
          </w:rPr>
          <w:t xml:space="preserve">Instituto Tricontinental de Investigación Social</w:t>
        </w:r>
      </w:hyperlink>
      <w:r w:rsidDel="00000000" w:rsidR="00000000" w:rsidRPr="00000000">
        <w:rPr>
          <w:rFonts w:ascii="Times New Roman" w:cs="Times New Roman" w:eastAsia="Times New Roman" w:hAnsi="Times New Roman"/>
          <w:sz w:val="28"/>
          <w:szCs w:val="28"/>
          <w:highlight w:val="white"/>
          <w:rtl w:val="0"/>
        </w:rPr>
        <w:t xml:space="preserve">. Ha escrito más de 20 libros, entre ellos </w:t>
      </w:r>
      <w:hyperlink r:id="rId11">
        <w:r w:rsidDel="00000000" w:rsidR="00000000" w:rsidRPr="00000000">
          <w:rPr>
            <w:rFonts w:ascii="Times New Roman" w:cs="Times New Roman" w:eastAsia="Times New Roman" w:hAnsi="Times New Roman"/>
            <w:i w:val="1"/>
            <w:color w:val="1155cc"/>
            <w:sz w:val="28"/>
            <w:szCs w:val="28"/>
            <w:highlight w:val="white"/>
            <w:u w:val="single"/>
            <w:rtl w:val="0"/>
          </w:rPr>
          <w:t xml:space="preserve">Las Naciones Oscuras</w:t>
        </w:r>
      </w:hyperlink>
      <w:r w:rsidDel="00000000" w:rsidR="00000000" w:rsidRPr="00000000">
        <w:rPr>
          <w:rFonts w:ascii="Times New Roman" w:cs="Times New Roman" w:eastAsia="Times New Roman" w:hAnsi="Times New Roman"/>
          <w:sz w:val="28"/>
          <w:szCs w:val="28"/>
          <w:highlight w:val="white"/>
          <w:rtl w:val="0"/>
        </w:rPr>
        <w:t xml:space="preserve"> y </w:t>
      </w:r>
      <w:hyperlink r:id="rId12">
        <w:r w:rsidDel="00000000" w:rsidR="00000000" w:rsidRPr="00000000">
          <w:rPr>
            <w:rFonts w:ascii="Times New Roman" w:cs="Times New Roman" w:eastAsia="Times New Roman" w:hAnsi="Times New Roman"/>
            <w:i w:val="1"/>
            <w:color w:val="1155cc"/>
            <w:sz w:val="28"/>
            <w:szCs w:val="28"/>
            <w:highlight w:val="white"/>
            <w:u w:val="single"/>
            <w:rtl w:val="0"/>
          </w:rPr>
          <w:t xml:space="preserve">Las Naciones Pobres</w:t>
        </w:r>
      </w:hyperlink>
      <w:r w:rsidDel="00000000" w:rsidR="00000000" w:rsidRPr="00000000">
        <w:rPr>
          <w:rFonts w:ascii="Times New Roman" w:cs="Times New Roman" w:eastAsia="Times New Roman" w:hAnsi="Times New Roman"/>
          <w:sz w:val="28"/>
          <w:szCs w:val="28"/>
          <w:highlight w:val="white"/>
          <w:rtl w:val="0"/>
        </w:rPr>
        <w:t xml:space="preserve">. Sus libros más recientes son </w:t>
      </w:r>
      <w:hyperlink r:id="rId13">
        <w:r w:rsidDel="00000000" w:rsidR="00000000" w:rsidRPr="00000000">
          <w:rPr>
            <w:rFonts w:ascii="Times New Roman" w:cs="Times New Roman" w:eastAsia="Times New Roman" w:hAnsi="Times New Roman"/>
            <w:i w:val="1"/>
            <w:color w:val="1155cc"/>
            <w:sz w:val="28"/>
            <w:szCs w:val="28"/>
            <w:highlight w:val="white"/>
            <w:u w:val="single"/>
            <w:rtl w:val="0"/>
          </w:rPr>
          <w:t xml:space="preserve">Luchar nos hace humanos: aprendiendo de los movimientos por el socialismo</w:t>
        </w:r>
      </w:hyperlink>
      <w:r w:rsidDel="00000000" w:rsidR="00000000" w:rsidRPr="00000000">
        <w:rPr>
          <w:rFonts w:ascii="Times New Roman" w:cs="Times New Roman" w:eastAsia="Times New Roman" w:hAnsi="Times New Roman"/>
          <w:sz w:val="28"/>
          <w:szCs w:val="28"/>
          <w:rtl w:val="0"/>
        </w:rPr>
        <w:t xml:space="preserve">, </w:t>
      </w:r>
      <w:hyperlink r:id="rId14">
        <w:r w:rsidDel="00000000" w:rsidR="00000000" w:rsidRPr="00000000">
          <w:rPr>
            <w:rFonts w:ascii="Times New Roman" w:cs="Times New Roman" w:eastAsia="Times New Roman" w:hAnsi="Times New Roman"/>
            <w:i w:val="1"/>
            <w:color w:val="1155cc"/>
            <w:sz w:val="28"/>
            <w:szCs w:val="28"/>
            <w:highlight w:val="white"/>
            <w:u w:val="single"/>
            <w:rtl w:val="0"/>
          </w:rPr>
          <w:t xml:space="preserve">La retirada: Irak, Libia, Afganistán y la fragilidad del poder estadounidense</w:t>
        </w:r>
      </w:hyperlink>
      <w:r w:rsidDel="00000000" w:rsidR="00000000" w:rsidRPr="00000000">
        <w:rPr>
          <w:rFonts w:ascii="Times New Roman" w:cs="Times New Roman" w:eastAsia="Times New Roman" w:hAnsi="Times New Roman"/>
          <w:sz w:val="28"/>
          <w:szCs w:val="28"/>
          <w:highlight w:val="white"/>
          <w:rtl w:val="0"/>
        </w:rPr>
        <w:t xml:space="preserve"> y </w:t>
      </w:r>
      <w:hyperlink r:id="rId15">
        <w:r w:rsidDel="00000000" w:rsidR="00000000" w:rsidRPr="00000000">
          <w:rPr>
            <w:rFonts w:ascii="Times New Roman" w:cs="Times New Roman" w:eastAsia="Times New Roman" w:hAnsi="Times New Roman"/>
            <w:i w:val="1"/>
            <w:color w:val="1155cc"/>
            <w:sz w:val="28"/>
            <w:szCs w:val="28"/>
            <w:u w:val="single"/>
            <w:rtl w:val="0"/>
          </w:rPr>
          <w:t xml:space="preserve">Sobre Cuba: 70 años de Revolución y Lucha</w:t>
        </w:r>
      </w:hyperlink>
      <w:r w:rsidDel="00000000" w:rsidR="00000000" w:rsidRPr="00000000">
        <w:rPr>
          <w:rFonts w:ascii="Times New Roman" w:cs="Times New Roman" w:eastAsia="Times New Roman" w:hAnsi="Times New Roman"/>
          <w:sz w:val="28"/>
          <w:szCs w:val="28"/>
          <w:highlight w:val="white"/>
          <w:rtl w:val="0"/>
        </w:rPr>
        <w:t xml:space="preserve"> (los dos últimos en coautoría con Noam Chomsky). </w:t>
      </w:r>
      <w:r w:rsidDel="00000000" w:rsidR="00000000" w:rsidRPr="00000000">
        <w:rPr>
          <w:rFonts w:ascii="Times New Roman" w:cs="Times New Roman" w:eastAsia="Times New Roman" w:hAnsi="Times New Roman"/>
          <w:sz w:val="28"/>
          <w:szCs w:val="28"/>
          <w:rtl w:val="0"/>
        </w:rPr>
        <w:t xml:space="preserve">Chelwa y Prashad publicarán </w:t>
      </w:r>
      <w:r w:rsidDel="00000000" w:rsidR="00000000" w:rsidRPr="00000000">
        <w:rPr>
          <w:rFonts w:ascii="Times New Roman" w:cs="Times New Roman" w:eastAsia="Times New Roman" w:hAnsi="Times New Roman"/>
          <w:i w:val="1"/>
          <w:sz w:val="28"/>
          <w:szCs w:val="28"/>
          <w:rtl w:val="0"/>
        </w:rPr>
        <w:t xml:space="preserve">How the International Monetary Fund is Suffocating Africa</w:t>
      </w:r>
      <w:r w:rsidDel="00000000" w:rsidR="00000000" w:rsidRPr="00000000">
        <w:rPr>
          <w:rFonts w:ascii="Times New Roman" w:cs="Times New Roman" w:eastAsia="Times New Roman" w:hAnsi="Times New Roman"/>
          <w:sz w:val="28"/>
          <w:szCs w:val="28"/>
          <w:rtl w:val="0"/>
        </w:rPr>
        <w:t xml:space="preserve"> a finales de este año con</w:t>
      </w:r>
      <w:hyperlink r:id="rId16">
        <w:r w:rsidDel="00000000" w:rsidR="00000000" w:rsidRPr="00000000">
          <w:rPr>
            <w:rFonts w:ascii="Times New Roman" w:cs="Times New Roman" w:eastAsia="Times New Roman" w:hAnsi="Times New Roman"/>
            <w:sz w:val="28"/>
            <w:szCs w:val="28"/>
            <w:rtl w:val="0"/>
          </w:rPr>
          <w:t xml:space="preserve"> </w:t>
        </w:r>
      </w:hyperlink>
      <w:hyperlink r:id="rId17">
        <w:r w:rsidDel="00000000" w:rsidR="00000000" w:rsidRPr="00000000">
          <w:rPr>
            <w:rFonts w:ascii="Times New Roman" w:cs="Times New Roman" w:eastAsia="Times New Roman" w:hAnsi="Times New Roman"/>
            <w:color w:val="1155cc"/>
            <w:sz w:val="28"/>
            <w:szCs w:val="28"/>
            <w:u w:val="single"/>
            <w:rtl w:val="0"/>
          </w:rPr>
          <w:t xml:space="preserve">Inkani Books</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Oriente Medio/Palestina, Oriente Medio/Israel, Europa/Reino Unido, América del Norte/Estados Unidos de América, Justicia penal, Naciones Unidas, Historia, Derechos humanos, Noticias, Política, Guerra</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26 de octubre, Caroline Willemen, de Médicos Sin Fronteras,</w:t>
      </w:r>
      <w:r w:rsidDel="00000000" w:rsidR="00000000" w:rsidRPr="00000000">
        <w:rPr>
          <w:rFonts w:ascii="Times New Roman" w:cs="Times New Roman" w:eastAsia="Times New Roman" w:hAnsi="Times New Roman"/>
          <w:sz w:val="28"/>
          <w:szCs w:val="28"/>
          <w:rtl w:val="0"/>
        </w:rPr>
        <w:t xml:space="preserve"> </w:t>
      </w:r>
      <w:hyperlink r:id="rId18">
        <w:r w:rsidDel="00000000" w:rsidR="00000000" w:rsidRPr="00000000">
          <w:rPr>
            <w:rFonts w:ascii="Times New Roman" w:cs="Times New Roman" w:eastAsia="Times New Roman" w:hAnsi="Times New Roman"/>
            <w:color w:val="1155cc"/>
            <w:sz w:val="28"/>
            <w:szCs w:val="28"/>
            <w:u w:val="single"/>
            <w:rtl w:val="0"/>
          </w:rPr>
          <w:t xml:space="preserve">declaró</w:t>
        </w:r>
      </w:hyperlink>
      <w:r w:rsidDel="00000000" w:rsidR="00000000" w:rsidRPr="00000000">
        <w:rPr>
          <w:rFonts w:ascii="Times New Roman" w:cs="Times New Roman" w:eastAsia="Times New Roman" w:hAnsi="Times New Roman"/>
          <w:sz w:val="28"/>
          <w:szCs w:val="28"/>
          <w:rtl w:val="0"/>
        </w:rPr>
        <w:t xml:space="preserve"> que Israel sigue utilizando la necesidad de ayuda humanitaria en Gaza como “medio de presión”. “La situación humanitaria en Gaza no ha mejorado significativamente”, declaró a la prensa, “ya que persiste la escasez de agua y refugio y cientos de miles de personas siguen viviendo en tiendas de campaña a medida que se acerca el invierno”. Las fuerzas armadas de Israel han anexionado más de la mitad del territorio de Gaza y están</w:t>
      </w:r>
      <w:r w:rsidDel="00000000" w:rsidR="00000000" w:rsidRPr="00000000">
        <w:rPr>
          <w:rFonts w:ascii="Times New Roman" w:cs="Times New Roman" w:eastAsia="Times New Roman" w:hAnsi="Times New Roman"/>
          <w:sz w:val="28"/>
          <w:szCs w:val="28"/>
          <w:rtl w:val="0"/>
        </w:rPr>
        <w:t xml:space="preserve"> </w:t>
      </w:r>
      <w:hyperlink r:id="rId19">
        <w:r w:rsidDel="00000000" w:rsidR="00000000" w:rsidRPr="00000000">
          <w:rPr>
            <w:rFonts w:ascii="Times New Roman" w:cs="Times New Roman" w:eastAsia="Times New Roman" w:hAnsi="Times New Roman"/>
            <w:color w:val="1155cc"/>
            <w:sz w:val="28"/>
            <w:szCs w:val="28"/>
            <w:u w:val="single"/>
            <w:rtl w:val="0"/>
          </w:rPr>
          <w:t xml:space="preserve">vertiendo</w:t>
        </w:r>
      </w:hyperlink>
      <w:r w:rsidDel="00000000" w:rsidR="00000000" w:rsidRPr="00000000">
        <w:rPr>
          <w:rFonts w:ascii="Times New Roman" w:cs="Times New Roman" w:eastAsia="Times New Roman" w:hAnsi="Times New Roman"/>
          <w:sz w:val="28"/>
          <w:szCs w:val="28"/>
          <w:rtl w:val="0"/>
        </w:rPr>
        <w:t xml:space="preserve"> grandes cantidades de escombros en esa zona, convirtiéndola en una montaña de basura. Retirar los escombros sin expertos ni equipo es muy peligroso, ya que entre el diez y el doce por ciento de las bombas israelíes lanzadas sobre Gaza no han explotado.</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“Todos los habitantes de Gaza viven ahora en un horrible campo de minas sin cartografiar”,</w:t>
      </w:r>
      <w:hyperlink r:id="rId20">
        <w:r w:rsidDel="00000000" w:rsidR="00000000" w:rsidRPr="00000000">
          <w:rPr>
            <w:rFonts w:ascii="Times New Roman" w:cs="Times New Roman" w:eastAsia="Times New Roman" w:hAnsi="Times New Roman"/>
            <w:sz w:val="28"/>
            <w:szCs w:val="28"/>
            <w:rtl w:val="0"/>
          </w:rPr>
          <w:t xml:space="preserve"> </w:t>
        </w:r>
      </w:hyperlink>
      <w:hyperlink r:id="rId21">
        <w:r w:rsidDel="00000000" w:rsidR="00000000" w:rsidRPr="00000000">
          <w:rPr>
            <w:rFonts w:ascii="Times New Roman" w:cs="Times New Roman" w:eastAsia="Times New Roman" w:hAnsi="Times New Roman"/>
            <w:color w:val="1155cc"/>
            <w:sz w:val="28"/>
            <w:szCs w:val="28"/>
            <w:u w:val="single"/>
            <w:rtl w:val="0"/>
          </w:rPr>
          <w:t xml:space="preserve">dijo</w:t>
        </w:r>
      </w:hyperlink>
      <w:r w:rsidDel="00000000" w:rsidR="00000000" w:rsidRPr="00000000">
        <w:rPr>
          <w:rFonts w:ascii="Times New Roman" w:cs="Times New Roman" w:eastAsia="Times New Roman" w:hAnsi="Times New Roman"/>
          <w:sz w:val="28"/>
          <w:szCs w:val="28"/>
          <w:rtl w:val="0"/>
        </w:rPr>
        <w:t xml:space="preserve"> Nick Orr, de Humanity and Inclusion, una organización no gubernamental que trabaja en Palestina. “Los artefactos explosivos sin detonar están por todas partes. En el suelo, entre los escombros, bajo tierra, en todas partes”. A medida que los palestinos excavan entre las colinas de hormigón, corren el riesgo de activar una bomba inactiva, lo que provocaría más víctimas del genocidio israelí.</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los últimos dos años, Israel ha</w:t>
      </w:r>
      <w:hyperlink r:id="rId22">
        <w:r w:rsidDel="00000000" w:rsidR="00000000" w:rsidRPr="00000000">
          <w:rPr>
            <w:rFonts w:ascii="Times New Roman" w:cs="Times New Roman" w:eastAsia="Times New Roman" w:hAnsi="Times New Roman"/>
            <w:sz w:val="28"/>
            <w:szCs w:val="28"/>
            <w:rtl w:val="0"/>
          </w:rPr>
          <w:t xml:space="preserve"> </w:t>
        </w:r>
      </w:hyperlink>
      <w:hyperlink r:id="rId23">
        <w:r w:rsidDel="00000000" w:rsidR="00000000" w:rsidRPr="00000000">
          <w:rPr>
            <w:rFonts w:ascii="Times New Roman" w:cs="Times New Roman" w:eastAsia="Times New Roman" w:hAnsi="Times New Roman"/>
            <w:color w:val="1155cc"/>
            <w:sz w:val="28"/>
            <w:szCs w:val="28"/>
            <w:u w:val="single"/>
            <w:rtl w:val="0"/>
          </w:rPr>
          <w:t xml:space="preserve">lanzado</w:t>
        </w:r>
      </w:hyperlink>
      <w:r w:rsidDel="00000000" w:rsidR="00000000" w:rsidRPr="00000000">
        <w:rPr>
          <w:rFonts w:ascii="Times New Roman" w:cs="Times New Roman" w:eastAsia="Times New Roman" w:hAnsi="Times New Roman"/>
          <w:sz w:val="28"/>
          <w:szCs w:val="28"/>
          <w:rtl w:val="0"/>
        </w:rPr>
        <w:t xml:space="preserve"> al menos 200.000 toneladas de explosivos sobre Gaza, un tonelaje equivalente a trece bombas atómicas del tamaño de la que los Estados Unidos lanzó sobre Hiroshima el 6 de agosto de 1945. Esto es inimaginable, sobre todo teniendo en cuenta que los palestinos no tienen sistemas de defensa aérea, ni fuerza aérea, ni capacidad para defenderse de los bombardeos a gran altitud y con drones, ni para contraatacar de forma comparable. Los genocidios son, por naturaleza, asimétricos. Pero describir estos dos últimos años como asimétricos es obsceno: se trató de una violencia unidireccional, en la que los israelíes, como Goliat, utilizaron sus inmensas ventajas contra la resistencia palestina, como David.</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opacidad de las transferencias oficiales de armas significa que no tenemos una idea precisa de cuánto de este tonelaje llegó a Israel procedente de sus principales proveedores durante la guerra: los Estados Unidos, Alemania, Italia y el Reino Unido. Sin embargo, tenemos pruebas suficientes para saber que la mayoría de las bombas procedían de los Estados Unidos, con suministros menores de los demás países. Un nuevo</w:t>
      </w:r>
      <w:hyperlink r:id="rId24">
        <w:r w:rsidDel="00000000" w:rsidR="00000000" w:rsidRPr="00000000">
          <w:rPr>
            <w:rFonts w:ascii="Times New Roman" w:cs="Times New Roman" w:eastAsia="Times New Roman" w:hAnsi="Times New Roman"/>
            <w:sz w:val="28"/>
            <w:szCs w:val="28"/>
            <w:rtl w:val="0"/>
          </w:rPr>
          <w:t xml:space="preserve"> </w:t>
        </w:r>
      </w:hyperlink>
      <w:hyperlink r:id="rId25">
        <w:r w:rsidDel="00000000" w:rsidR="00000000" w:rsidRPr="00000000">
          <w:rPr>
            <w:rFonts w:ascii="Times New Roman" w:cs="Times New Roman" w:eastAsia="Times New Roman" w:hAnsi="Times New Roman"/>
            <w:color w:val="1155cc"/>
            <w:sz w:val="28"/>
            <w:szCs w:val="28"/>
            <w:u w:val="single"/>
            <w:rtl w:val="0"/>
          </w:rPr>
          <w:t xml:space="preserve">informe</w:t>
        </w:r>
      </w:hyperlink>
      <w:r w:rsidDel="00000000" w:rsidR="00000000" w:rsidRPr="00000000">
        <w:rPr>
          <w:rFonts w:ascii="Times New Roman" w:cs="Times New Roman" w:eastAsia="Times New Roman" w:hAnsi="Times New Roman"/>
          <w:sz w:val="28"/>
          <w:szCs w:val="28"/>
          <w:rtl w:val="0"/>
        </w:rPr>
        <w:t xml:space="preserve"> del Relator Especial de las Naciones Unidas sobre la situación de los derechos humanos en los territorios palestinos ocupados desde 1967, titulado </w:t>
      </w:r>
      <w:r w:rsidDel="00000000" w:rsidR="00000000" w:rsidRPr="00000000">
        <w:rPr>
          <w:rFonts w:ascii="Times New Roman" w:cs="Times New Roman" w:eastAsia="Times New Roman" w:hAnsi="Times New Roman"/>
          <w:i w:val="1"/>
          <w:sz w:val="28"/>
          <w:szCs w:val="28"/>
          <w:rtl w:val="0"/>
        </w:rPr>
        <w:t xml:space="preserve">Gaza Genocide: a collective crime</w:t>
      </w:r>
      <w:r w:rsidDel="00000000" w:rsidR="00000000" w:rsidRPr="00000000">
        <w:rPr>
          <w:rFonts w:ascii="Times New Roman" w:cs="Times New Roman" w:eastAsia="Times New Roman" w:hAnsi="Times New Roman"/>
          <w:sz w:val="28"/>
          <w:szCs w:val="28"/>
          <w:rtl w:val="0"/>
        </w:rPr>
        <w:t xml:space="preserve"> (20 de octubre de 2025), deja claro de manera indiscutible que los países que suministran equipo militar a Israel o le prestan asistencia de cualquier tipo – incluso mediante apoyo diplomático – son totalmente cómplices del genocidio.</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otras palabras, la obligación de cumplir la Convención de las Naciones Unidas sobre el Genocidio no es discrecional; el deber de hacer todo lo posible para detener el genocidio es obligatorio. Su participación los hace totalmente culpables. El informe señala que el genocidio israelí de los palestinos en Gaza lo convierte en “un crimen habilitado internacionalmente”.</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nivel de complicidad es extraordinario. Tomemos el caso del Reino Unido, cuyo primer ministro, Keir Starmer, es abogado especializado en derechos humanos y, de hecho, escribió el libro de texto sobre la legislación europea en materia de derechos humanos (1999). El 6 de agosto de 2025, Matt Kennard</w:t>
      </w:r>
      <w:r w:rsidDel="00000000" w:rsidR="00000000" w:rsidRPr="00000000">
        <w:rPr>
          <w:rFonts w:ascii="Times New Roman" w:cs="Times New Roman" w:eastAsia="Times New Roman" w:hAnsi="Times New Roman"/>
          <w:sz w:val="28"/>
          <w:szCs w:val="28"/>
          <w:rtl w:val="0"/>
        </w:rPr>
        <w:t xml:space="preserve"> </w:t>
      </w:r>
      <w:hyperlink r:id="rId26">
        <w:r w:rsidDel="00000000" w:rsidR="00000000" w:rsidRPr="00000000">
          <w:rPr>
            <w:rFonts w:ascii="Times New Roman" w:cs="Times New Roman" w:eastAsia="Times New Roman" w:hAnsi="Times New Roman"/>
            <w:color w:val="1155cc"/>
            <w:sz w:val="28"/>
            <w:szCs w:val="28"/>
            <w:u w:val="single"/>
            <w:rtl w:val="0"/>
          </w:rPr>
          <w:t xml:space="preserve">contó</w:t>
        </w:r>
      </w:hyperlink>
      <w:r w:rsidDel="00000000" w:rsidR="00000000" w:rsidRPr="00000000">
        <w:rPr>
          <w:rFonts w:ascii="Times New Roman" w:cs="Times New Roman" w:eastAsia="Times New Roman" w:hAnsi="Times New Roman"/>
          <w:sz w:val="28"/>
          <w:szCs w:val="28"/>
          <w:rtl w:val="0"/>
        </w:rPr>
        <w:t xml:space="preserve"> a Palestine Deep Dive cómo aviones militares británicos salieron de la base aérea de Akrotiri en Chipre y escoltaron a un avión no identificado sobre Gaza. Seis días después, Iain Overton, de UK Declassified, </w:t>
      </w:r>
      <w:hyperlink r:id="rId27">
        <w:r w:rsidDel="00000000" w:rsidR="00000000" w:rsidRPr="00000000">
          <w:rPr>
            <w:rFonts w:ascii="Times New Roman" w:cs="Times New Roman" w:eastAsia="Times New Roman" w:hAnsi="Times New Roman"/>
            <w:color w:val="1155cc"/>
            <w:sz w:val="28"/>
            <w:szCs w:val="28"/>
            <w:u w:val="single"/>
            <w:rtl w:val="0"/>
          </w:rPr>
          <w:t xml:space="preserve">reveló</w:t>
        </w:r>
      </w:hyperlink>
      <w:r w:rsidDel="00000000" w:rsidR="00000000" w:rsidRPr="00000000">
        <w:rPr>
          <w:rFonts w:ascii="Times New Roman" w:cs="Times New Roman" w:eastAsia="Times New Roman" w:hAnsi="Times New Roman"/>
          <w:color w:val="1155cc"/>
          <w:sz w:val="28"/>
          <w:szCs w:val="28"/>
          <w:rtl w:val="0"/>
        </w:rPr>
        <w:t xml:space="preserve"> </w:t>
      </w:r>
      <w:r w:rsidDel="00000000" w:rsidR="00000000" w:rsidRPr="00000000">
        <w:rPr>
          <w:rFonts w:ascii="Times New Roman" w:cs="Times New Roman" w:eastAsia="Times New Roman" w:hAnsi="Times New Roman"/>
          <w:sz w:val="28"/>
          <w:szCs w:val="28"/>
          <w:rtl w:val="0"/>
        </w:rPr>
        <w:t xml:space="preserve">que entre estos aviones se encontraba un avión de vigilancia RAF Shadow R1 que volaba junto a un Beechcraft Super King Air 350 propiedad de la Sierra Nevada Corporation (de los Estados Unidos) con el indicativo CROOK 11. ¿Qué hacían estos aviones? ¿Quién les había autorizado a realizar esta misión? ¿Quién es CROOK 11?</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diciembre de 2024, Starmer</w:t>
      </w:r>
      <w:hyperlink r:id="rId28">
        <w:r w:rsidDel="00000000" w:rsidR="00000000" w:rsidRPr="00000000">
          <w:rPr>
            <w:rFonts w:ascii="Times New Roman" w:cs="Times New Roman" w:eastAsia="Times New Roman" w:hAnsi="Times New Roman"/>
            <w:sz w:val="28"/>
            <w:szCs w:val="28"/>
            <w:rtl w:val="0"/>
          </w:rPr>
          <w:t xml:space="preserve"> </w:t>
        </w:r>
      </w:hyperlink>
      <w:hyperlink r:id="rId29">
        <w:r w:rsidDel="00000000" w:rsidR="00000000" w:rsidRPr="00000000">
          <w:rPr>
            <w:rFonts w:ascii="Times New Roman" w:cs="Times New Roman" w:eastAsia="Times New Roman" w:hAnsi="Times New Roman"/>
            <w:color w:val="1155cc"/>
            <w:sz w:val="28"/>
            <w:szCs w:val="28"/>
            <w:u w:val="single"/>
            <w:rtl w:val="0"/>
          </w:rPr>
          <w:t xml:space="preserve">dijo</w:t>
        </w:r>
      </w:hyperlink>
      <w:r w:rsidDel="00000000" w:rsidR="00000000" w:rsidRPr="00000000">
        <w:rPr>
          <w:rFonts w:ascii="Times New Roman" w:cs="Times New Roman" w:eastAsia="Times New Roman" w:hAnsi="Times New Roman"/>
          <w:sz w:val="28"/>
          <w:szCs w:val="28"/>
          <w:rtl w:val="0"/>
        </w:rPr>
        <w:t xml:space="preserve"> a las tropas de la base aérea de Akrotiri: “Hay muchas tareas diferentes que realizar. También soy consciente de que algunas, o bastantes, de las que se llevan a cabo aquí no pueden ser necesariamente comentadas en todo momento... No podemos necesariamente decirle al mundo lo que están haciendo aquí... porque, aunque no lo digamos al mundo entero por razones que ustedes conocen”. La razón obvia es que se trata de un genocidio y el Reino Unido es cómplice, por lo que no pueden hablar de ello.</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historial de los Estados Unidos es aún más espantoso. Un párrafo del informe del Relator Especial es suficientemente condenatorio:</w:t>
      </w:r>
    </w:p>
    <w:p w:rsidR="00000000" w:rsidDel="00000000" w:rsidP="00000000" w:rsidRDefault="00000000" w:rsidRPr="00000000" w14:paraId="00000010">
      <w:pPr>
        <w:spacing w:after="200" w:before="24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Desde octubre de 2023, los Estados Unidos ha transferido 742 envíos de “armas y municiones” (código HS 93) y ha aprobado decenas de miles de millones en nuevas ventas. Las administraciones de Biden y Trump redujeron la transparencia, aceleraron las transferencias mediante repetidas aprobaciones de emergencia, facilitaron el acceso de Israel a las reservas de armas estadounidenses en el extranjero y autorizaron cientos de ventas por debajo del importe que requiere la aprobación del Congreso. Los Estados Unidos ha desplegado aviones militares, fuerzas especiales y drones de vigilancia en Israel, y se dice que la vigilancia estadounidense se utiliza para atacar a Hamás, incluso en la primera incursión en el hospital Al Shifa.</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noviembre de 2024, la Corte Penal Internacional (CPI)</w:t>
      </w:r>
      <w:r w:rsidDel="00000000" w:rsidR="00000000" w:rsidRPr="00000000">
        <w:rPr>
          <w:rFonts w:ascii="Times New Roman" w:cs="Times New Roman" w:eastAsia="Times New Roman" w:hAnsi="Times New Roman"/>
          <w:sz w:val="28"/>
          <w:szCs w:val="28"/>
          <w:rtl w:val="0"/>
        </w:rPr>
        <w:t xml:space="preserve"> </w:t>
      </w:r>
      <w:hyperlink r:id="rId30">
        <w:r w:rsidDel="00000000" w:rsidR="00000000" w:rsidRPr="00000000">
          <w:rPr>
            <w:rFonts w:ascii="Times New Roman" w:cs="Times New Roman" w:eastAsia="Times New Roman" w:hAnsi="Times New Roman"/>
            <w:color w:val="1155cc"/>
            <w:sz w:val="28"/>
            <w:szCs w:val="28"/>
            <w:u w:val="single"/>
            <w:rtl w:val="0"/>
          </w:rPr>
          <w:t xml:space="preserve">presentó</w:t>
        </w:r>
      </w:hyperlink>
      <w:r w:rsidDel="00000000" w:rsidR="00000000" w:rsidRPr="00000000">
        <w:rPr>
          <w:rFonts w:ascii="Times New Roman" w:cs="Times New Roman" w:eastAsia="Times New Roman" w:hAnsi="Times New Roman"/>
          <w:sz w:val="28"/>
          <w:szCs w:val="28"/>
          <w:rtl w:val="0"/>
        </w:rPr>
        <w:t xml:space="preserve"> una orden de detención contra Benjamin Netanyahu y Yoav Gallant. Basándose en este reciente informe de la ONU, el fiscal de la CPI, Karim Khan, debería estar obligado a presentar órdenes de detención contra Rishi Sunak, Starmer, Olaf Scholz, Friedrich Merz, Joe Biden y Donald Trump, como mínimo. Cualquier otra cosa sería una burla al sistema internacional basado en normas, es decir, a la Carta de las Naciones Unidas.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humanity-inclusion.org.uk/en/gaza-every-gazan-person-is-now-living-in-a-horrific-unmapped-minefield" TargetMode="External"/><Relationship Id="rId22" Type="http://schemas.openxmlformats.org/officeDocument/2006/relationships/hyperlink" Target="https://www.thecanary.co/global/world-analysis/2025/10/08/200000-tonnes-of-explosives-dropped-on-gaza-equivalent-to-6-nuclear-bombs/" TargetMode="External"/><Relationship Id="rId21" Type="http://schemas.openxmlformats.org/officeDocument/2006/relationships/hyperlink" Target="https://www.humanity-inclusion.org.uk/en/gaza-every-gazan-person-is-now-living-in-a-horrific-unmapped-minefield" TargetMode="External"/><Relationship Id="rId24" Type="http://schemas.openxmlformats.org/officeDocument/2006/relationships/hyperlink" Target="https://www.ohchr.org/en/documents/country-reports/a80492-gaza-genocide-collective-crime-report-special-rapporteur-situation" TargetMode="External"/><Relationship Id="rId23" Type="http://schemas.openxmlformats.org/officeDocument/2006/relationships/hyperlink" Target="https://www.thecanary.co/global/world-analysis/2025/10/08/200000-tonnes-of-explosives-dropped-on-gaza-equivalent-to-6-nuclear-bomb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yday.leftword.com/" TargetMode="External"/><Relationship Id="rId26" Type="http://schemas.openxmlformats.org/officeDocument/2006/relationships/hyperlink" Target="https://www.palestinedeepdive.com/p/exposed-flight-path-of-secret-british" TargetMode="External"/><Relationship Id="rId25" Type="http://schemas.openxmlformats.org/officeDocument/2006/relationships/hyperlink" Target="https://www.ohchr.org/en/documents/country-reports/a80492-gaza-genocide-collective-crime-report-special-rapporteur-situation" TargetMode="External"/><Relationship Id="rId28" Type="http://schemas.openxmlformats.org/officeDocument/2006/relationships/hyperlink" Target="https://www.middleeasteye.net/news/starmer-visits-gaza-spy-planes-air-base" TargetMode="External"/><Relationship Id="rId27" Type="http://schemas.openxmlformats.org/officeDocument/2006/relationships/hyperlink" Target="https://www.declassifieduk.org/us-flew-spy-flights-for-uk-months-before-mod-admitted-it/"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29" Type="http://schemas.openxmlformats.org/officeDocument/2006/relationships/hyperlink" Target="https://www.middleeasteye.net/news/starmer-visits-gaza-spy-planes-air-base" TargetMode="External"/><Relationship Id="rId7" Type="http://schemas.openxmlformats.org/officeDocument/2006/relationships/hyperlink" Target="https://globetrotter.media/" TargetMode="External"/><Relationship Id="rId8" Type="http://schemas.openxmlformats.org/officeDocument/2006/relationships/hyperlink" Target="https://globetrotter.media/" TargetMode="External"/><Relationship Id="rId30" Type="http://schemas.openxmlformats.org/officeDocument/2006/relationships/hyperlink" Target="https://www.icc-cpi.int/news/situation-state-palestine-icc-pre-trial-chamber-i-rejects-state-israels-challenges" TargetMode="External"/><Relationship Id="rId11" Type="http://schemas.openxmlformats.org/officeDocument/2006/relationships/hyperlink" Target="https://thenewpress.com/books/darker-nations" TargetMode="External"/><Relationship Id="rId10" Type="http://schemas.openxmlformats.org/officeDocument/2006/relationships/hyperlink" Target="https://thetricontinental.org/es/" TargetMode="External"/><Relationship Id="rId13" Type="http://schemas.openxmlformats.org/officeDocument/2006/relationships/hyperlink" Target="https://www.haymarketbooks.org/books/1869-struggle-makes-us-human" TargetMode="External"/><Relationship Id="rId12" Type="http://schemas.openxmlformats.org/officeDocument/2006/relationships/hyperlink" Target="https://www.versobooks.com/products/2292-the-poorer-nations" TargetMode="External"/><Relationship Id="rId15" Type="http://schemas.openxmlformats.org/officeDocument/2006/relationships/hyperlink" Target="https://capitanswing.com/libros/sobre-cuba/" TargetMode="External"/><Relationship Id="rId14" Type="http://schemas.openxmlformats.org/officeDocument/2006/relationships/hyperlink" Target="https://capitanswing.com/libros/la-retirada/" TargetMode="External"/><Relationship Id="rId17" Type="http://schemas.openxmlformats.org/officeDocument/2006/relationships/hyperlink" Target="https://inkanibooks.co.za/" TargetMode="External"/><Relationship Id="rId16" Type="http://schemas.openxmlformats.org/officeDocument/2006/relationships/hyperlink" Target="https://inkanibooks.co.za/" TargetMode="External"/><Relationship Id="rId19" Type="http://schemas.openxmlformats.org/officeDocument/2006/relationships/hyperlink" Target="https://english.wafa.ps/Pages/Details/163713" TargetMode="External"/><Relationship Id="rId18" Type="http://schemas.openxmlformats.org/officeDocument/2006/relationships/hyperlink" Target="https://al24news.dz/fr/ghaza-laide-humanitaire-continue-detre-utilisee-par-lentite-sioniste-comme-moyen-de-pre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