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Siria después de al-Assad</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producido por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Vijay Prashad es un historiador, editor y periodista indio. Es miembro de la redacción y corresponsal en jefe de Globetrotter. Es editor en jefe de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LeftWord Books</w:t>
        </w:r>
      </w:hyperlink>
      <w:r w:rsidDel="00000000" w:rsidR="00000000" w:rsidRPr="00000000">
        <w:rPr>
          <w:rFonts w:ascii="Times New Roman" w:cs="Times New Roman" w:eastAsia="Times New Roman" w:hAnsi="Times New Roman"/>
          <w:sz w:val="28"/>
          <w:szCs w:val="28"/>
          <w:highlight w:val="white"/>
          <w:rtl w:val="0"/>
        </w:rPr>
        <w:t xml:space="preserve"> y director del </w:t>
      </w:r>
      <w:hyperlink r:id="rId8">
        <w:r w:rsidDel="00000000" w:rsidR="00000000" w:rsidRPr="00000000">
          <w:rPr>
            <w:rFonts w:ascii="Times New Roman" w:cs="Times New Roman" w:eastAsia="Times New Roman" w:hAnsi="Times New Roman"/>
            <w:color w:val="1155cc"/>
            <w:sz w:val="28"/>
            <w:szCs w:val="28"/>
            <w:highlight w:val="white"/>
            <w:u w:val="single"/>
            <w:rtl w:val="0"/>
          </w:rPr>
          <w:t xml:space="preserve">Instituto Tricontinental de Investigación Social</w:t>
        </w:r>
      </w:hyperlink>
      <w:r w:rsidDel="00000000" w:rsidR="00000000" w:rsidRPr="00000000">
        <w:rPr>
          <w:rFonts w:ascii="Times New Roman" w:cs="Times New Roman" w:eastAsia="Times New Roman" w:hAnsi="Times New Roman"/>
          <w:sz w:val="28"/>
          <w:szCs w:val="28"/>
          <w:highlight w:val="white"/>
          <w:rtl w:val="0"/>
        </w:rPr>
        <w:t xml:space="preserve">. Ha escrito más de 20 libros, entre ellos </w:t>
      </w:r>
      <w:hyperlink r:id="rId9">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Oscuras</w:t>
        </w:r>
      </w:hyperlink>
      <w:r w:rsidDel="00000000" w:rsidR="00000000" w:rsidRPr="00000000">
        <w:rPr>
          <w:rFonts w:ascii="Times New Roman" w:cs="Times New Roman" w:eastAsia="Times New Roman" w:hAnsi="Times New Roman"/>
          <w:sz w:val="28"/>
          <w:szCs w:val="28"/>
          <w:highlight w:val="white"/>
          <w:rtl w:val="0"/>
        </w:rPr>
        <w:t xml:space="preserve"> y </w:t>
      </w:r>
      <w:hyperlink r:id="rId10">
        <w:r w:rsidDel="00000000" w:rsidR="00000000" w:rsidRPr="00000000">
          <w:rPr>
            <w:rFonts w:ascii="Times New Roman" w:cs="Times New Roman" w:eastAsia="Times New Roman" w:hAnsi="Times New Roman"/>
            <w:i w:val="1"/>
            <w:color w:val="1155cc"/>
            <w:sz w:val="28"/>
            <w:szCs w:val="28"/>
            <w:highlight w:val="white"/>
            <w:u w:val="single"/>
            <w:rtl w:val="0"/>
          </w:rPr>
          <w:t xml:space="preserve">Las Naciones Pobres</w:t>
        </w:r>
      </w:hyperlink>
      <w:r w:rsidDel="00000000" w:rsidR="00000000" w:rsidRPr="00000000">
        <w:rPr>
          <w:rFonts w:ascii="Times New Roman" w:cs="Times New Roman" w:eastAsia="Times New Roman" w:hAnsi="Times New Roman"/>
          <w:sz w:val="28"/>
          <w:szCs w:val="28"/>
          <w:highlight w:val="white"/>
          <w:rtl w:val="0"/>
        </w:rPr>
        <w:t xml:space="preserve">. Sus libros más recientes son </w:t>
      </w:r>
      <w:hyperlink r:id="rId11">
        <w:r w:rsidDel="00000000" w:rsidR="00000000" w:rsidRPr="00000000">
          <w:rPr>
            <w:rFonts w:ascii="Times New Roman" w:cs="Times New Roman" w:eastAsia="Times New Roman" w:hAnsi="Times New Roman"/>
            <w:i w:val="1"/>
            <w:color w:val="1155cc"/>
            <w:sz w:val="28"/>
            <w:szCs w:val="28"/>
            <w:highlight w:val="white"/>
            <w:u w:val="single"/>
            <w:rtl w:val="0"/>
          </w:rPr>
          <w:t xml:space="preserve">Luchar nos hace humanos: aprendiendo de los movimientos por el socialismo</w:t>
        </w:r>
      </w:hyperlink>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i w:val="1"/>
            <w:color w:val="1155cc"/>
            <w:sz w:val="28"/>
            <w:szCs w:val="28"/>
            <w:highlight w:val="white"/>
            <w:u w:val="single"/>
            <w:rtl w:val="0"/>
          </w:rPr>
          <w:t xml:space="preserve">La retirada: Irak, Libia, Afganistán y la fragilidad del poder estadounidense</w:t>
        </w:r>
      </w:hyperlink>
      <w:r w:rsidDel="00000000" w:rsidR="00000000" w:rsidRPr="00000000">
        <w:rPr>
          <w:rFonts w:ascii="Times New Roman" w:cs="Times New Roman" w:eastAsia="Times New Roman" w:hAnsi="Times New Roman"/>
          <w:sz w:val="28"/>
          <w:szCs w:val="28"/>
          <w:highlight w:val="white"/>
          <w:rtl w:val="0"/>
        </w:rPr>
        <w:t xml:space="preserve"> y </w:t>
      </w:r>
      <w:hyperlink r:id="rId13">
        <w:r w:rsidDel="00000000" w:rsidR="00000000" w:rsidRPr="00000000">
          <w:rPr>
            <w:rFonts w:ascii="Times New Roman" w:cs="Times New Roman" w:eastAsia="Times New Roman" w:hAnsi="Times New Roman"/>
            <w:i w:val="1"/>
            <w:color w:val="1155cc"/>
            <w:sz w:val="28"/>
            <w:szCs w:val="28"/>
            <w:u w:val="single"/>
            <w:rtl w:val="0"/>
          </w:rPr>
          <w:t xml:space="preserve">Sobre Cuba: 70 años de Revolución y Lucha</w:t>
        </w:r>
      </w:hyperlink>
      <w:r w:rsidDel="00000000" w:rsidR="00000000" w:rsidRPr="00000000">
        <w:rPr>
          <w:rFonts w:ascii="Times New Roman" w:cs="Times New Roman" w:eastAsia="Times New Roman" w:hAnsi="Times New Roman"/>
          <w:sz w:val="28"/>
          <w:szCs w:val="28"/>
          <w:highlight w:val="white"/>
          <w:rtl w:val="0"/>
        </w:rPr>
        <w:t xml:space="preserve"> (los dos últimos en coautoría con Noam Chomsky)</w:t>
      </w:r>
      <w:r w:rsidDel="00000000" w:rsidR="00000000" w:rsidRPr="00000000">
        <w:rPr>
          <w:rtl w:val="0"/>
        </w:rPr>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Medio Oriente /Siria, Medio Oriente/Israel, Guerra, Norteamérica/Estados Unidos de América, Política</w:t>
      </w:r>
    </w:p>
    <w:p w:rsidR="00000000" w:rsidDel="00000000" w:rsidP="00000000" w:rsidRDefault="00000000" w:rsidRPr="00000000" w14:paraId="00000006">
      <w:pPr>
        <w:spacing w:after="24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[Cuerpo del artículo:]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8 de diciembre de 2024, el Gobierno de Bashar al-Assad se derrumbó cuando el ejército del antiguo líder de Al Qaeda, Ahmad al-Sharaa, entró en Damasco y se apoderó de las instituciones del Estado sirio. El Ejército Árabe Sirio, que se había mantenido leal al Gobierno de al-Assad, pareció disolverse. Las fuerzas rebeldes asumieron las funciones militares y se rebautizaron como Fuerzas de Seguridad General (después del 20 de diciembre). Entre diciembre de 2024 y enero de 2025, figuras destacadas de la antigua Hay'at Tahrir al-Sham, afiliada a Al Qaeda, tomaron el control del Ministerio de Defensa y del Ministerio del Interior. Muchas de las fuerzas rebeldes siguieron siendo </w:t>
      </w:r>
      <w:hyperlink r:id="rId14">
        <w:r w:rsidDel="00000000" w:rsidR="00000000" w:rsidRPr="00000000">
          <w:rPr>
            <w:rFonts w:ascii="Times New Roman" w:cs="Times New Roman" w:eastAsia="Times New Roman" w:hAnsi="Times New Roman"/>
            <w:color w:val="1155cc"/>
            <w:sz w:val="28"/>
            <w:szCs w:val="28"/>
            <w:u w:val="single"/>
            <w:rtl w:val="0"/>
          </w:rPr>
          <w:t xml:space="preserve">independientes</w:t>
        </w:r>
      </w:hyperlink>
      <w:r w:rsidDel="00000000" w:rsidR="00000000" w:rsidRPr="00000000">
        <w:rPr>
          <w:rFonts w:ascii="Times New Roman" w:cs="Times New Roman" w:eastAsia="Times New Roman" w:hAnsi="Times New Roman"/>
          <w:sz w:val="28"/>
          <w:szCs w:val="28"/>
          <w:rtl w:val="0"/>
        </w:rPr>
        <w:t xml:space="preserve">, pero operaban junto a las Fuerzas de Seguridad General.</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 igual que en 2003, cuando los Estados Unidos ocupó Irak y las fuerzas armadas iraquíes desaparecieron para reagruparse como fuerza de resistencia, gran parte del personal del Ejército Árabe Sirio se retiró a sus hogares, donde formaron milicias. En cuestión de semanas, estos grupos se </w:t>
      </w:r>
      <w:r w:rsidDel="00000000" w:rsidR="00000000" w:rsidRPr="00000000">
        <w:rPr>
          <w:rFonts w:ascii="Times New Roman" w:cs="Times New Roman" w:eastAsia="Times New Roman" w:hAnsi="Times New Roman"/>
          <w:sz w:val="28"/>
          <w:szCs w:val="28"/>
          <w:rtl w:val="0"/>
        </w:rPr>
        <w:t xml:space="preserve">reconstituyeron</w:t>
      </w:r>
      <w:r w:rsidDel="00000000" w:rsidR="00000000" w:rsidRPr="00000000">
        <w:rPr>
          <w:rFonts w:ascii="Times New Roman" w:cs="Times New Roman" w:eastAsia="Times New Roman" w:hAnsi="Times New Roman"/>
          <w:sz w:val="28"/>
          <w:szCs w:val="28"/>
          <w:rtl w:val="0"/>
        </w:rPr>
        <w:t xml:space="preserve"> como fuerzas defensivas de sus pueblos y ciudades. Este fue especialmente el caso de las ciudades y pueblos mayoritariamente alauitas y cristianos de la región de Qalamoun y de la costa de Latakia. Pero, a diferencia de lo ocurrido en Irak, estos antiguos grupos del Ejército Árabe Sirio no iniciaron una insurgencia bien organizada contra el Gobierno de al-Sharaa, sino que siguieron siendo una fuerza defensiva con solo unos pocos ataques registrados contra los nuevos gobernantes del Estado.</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 embargo, las fuerzas de Seguridad General y sus asociados en los antiguos grupos milicianos utilizaron su poder para atacar rápidamente a quienes intentaban reagrupar la resistencia. Por ejemplo, el 23 de enero, miembros de la Seguridad General irrumpieron en las aldeas de Fahel y Mreimin en busca de quienes, según ellos, eran oficiales militares del gobierno de al-Assad. Las fuerzas de Seguridad General registraron viviendas y detuvieron a un gran número de personas. Según el</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informe</w:t>
        </w:r>
      </w:hyperlink>
      <w:r w:rsidDel="00000000" w:rsidR="00000000" w:rsidRPr="00000000">
        <w:rPr>
          <w:rFonts w:ascii="Times New Roman" w:cs="Times New Roman" w:eastAsia="Times New Roman" w:hAnsi="Times New Roman"/>
          <w:sz w:val="28"/>
          <w:szCs w:val="28"/>
          <w:rtl w:val="0"/>
        </w:rPr>
        <w:t xml:space="preserve"> de la Comisión Independiente de Investigación sobre la República Árabe Siria, en Mreimin, las tropas de Seguridad General “golpearon y torturaron a los residentes, saquearon varias casas y mataron a dos civiles”. Durante estas “campañas de rastreo”, las fuerzas de Seguridad General utilizaron términos como </w:t>
      </w:r>
      <w:r w:rsidDel="00000000" w:rsidR="00000000" w:rsidRPr="00000000">
        <w:rPr>
          <w:rFonts w:ascii="Times New Roman" w:cs="Times New Roman" w:eastAsia="Times New Roman" w:hAnsi="Times New Roman"/>
          <w:i w:val="1"/>
          <w:sz w:val="28"/>
          <w:szCs w:val="28"/>
          <w:rtl w:val="0"/>
        </w:rPr>
        <w:t xml:space="preserve">nusayri</w:t>
      </w:r>
      <w:r w:rsidDel="00000000" w:rsidR="00000000" w:rsidRPr="00000000">
        <w:rPr>
          <w:rFonts w:ascii="Times New Roman" w:cs="Times New Roman" w:eastAsia="Times New Roman" w:hAnsi="Times New Roman"/>
          <w:sz w:val="28"/>
          <w:szCs w:val="28"/>
          <w:rtl w:val="0"/>
        </w:rPr>
        <w:t xml:space="preserve"> (un término despectivo para referirse a los alauitas), “cerdo alauita”, “kuffar” y “putas” para describir a quienes golpearon, torturaron y detuvieron. La represión contra estas milicias defensivas rápidamente adoptó una forma sectaria. Al parecer, el objetivo era desmoralizar cualquier resistencia y hacerlo siguiendo líneas estrictamente sectarias.</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Entre enero y marzo de 2025, estas fuerzas de Seguridad General actuaron de forma desenfrenada en todo el país, especialmente en las regiones costeras. No hay un recuento adecuado del número de personas que fueron asesinadas, torturadas o detenidas. Pero hay indicios muy claros del tipo de violencia que sufrieron en el país quienes habían formado parte del gobierno de al-Assad, incluso en las funciones más modestas, y las comunidades (alauitas, cristianos) que se consideraba que se habían beneficiado de él. Cuando al-Assad abandonó Siria en diciembre, los residentes alauitas de la aldea de Anz se apresuraron a ponerse a salvo en otros lugares y esperaron a ver qué pasaba. Anz se encuentra en el este de Hama, en las afueras de Salamiye. Cuando estos residentes regresaron a su pueblo, descubrieron que sus casas habían sido ocupadas y sus pertenencias destruidas. El 27 de enero, a las 4 de la madrugada, cuatro coches llenos de hombres enmascarados que se identificaron como miembros de la Seguridad General entraron en el pueblo y comenzaron a registrar las casas de las familias alauitas. El informe de la Comisión Independiente cuenta claramente lo sucedido:</w:t>
      </w:r>
    </w:p>
    <w:p w:rsidR="00000000" w:rsidDel="00000000" w:rsidP="00000000" w:rsidRDefault="00000000" w:rsidRPr="00000000" w14:paraId="0000000C">
      <w:pPr>
        <w:spacing w:after="24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hombres enmascarados reunieron a las mujeres y los niños en una habitación y les obligaron a entregar todos sus objetos de valor a punta de pistola. Los hombres armados también robaron las llaves de un camión en el que metieron 40 ovejas pertenecientes a una de las familias cuya casa fue allanada. Al menos diez hombres fueron arrastrados fuera a punta de pistola y alineados en una plaza a la entrada del pueblo, con las manos atadas a la espalda. Los hombres armados abrieron fuego contra ustedes, matando a cinco hombres, entre ellos un niño y una persona mayor, e hiriendo a otros cinco. El ataque duró unos 30 minutos.</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muertos tuvieron que ser enterrados en Tal Salhab, a cincuenta kilómetros de Anz, porque las familias no se sentían seguras para regresar a su pueblo.</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marzo, bandas de combatientes descendieron sobre las aldeas de Latakia. Entre ellos había hombres del Ministerio de Defensa, la Seguridad General, la Brigada Suleiman Shah del Ejército Nacional Sirio, la División al-Hamza del Ejército Nacional Sirio, la Brigada Sultan Murad, Ahrar al-Sham y Hay’at Tahrir al-Sham. Estos combatientes detuvieron a hombres y niños, les gritaron insultos, los torturaron y luego les dispararon en la cabeza o el pecho. La mayoría de los asesinados eran civiles y no exmilitares, y en muchos casos mataron a todos los hombres de una misma familia. Entre marzo y mayo, 40.000 personas </w:t>
      </w:r>
      <w:hyperlink r:id="rId17">
        <w:r w:rsidDel="00000000" w:rsidR="00000000" w:rsidRPr="00000000">
          <w:rPr>
            <w:rFonts w:ascii="Times New Roman" w:cs="Times New Roman" w:eastAsia="Times New Roman" w:hAnsi="Times New Roman"/>
            <w:color w:val="1155cc"/>
            <w:sz w:val="28"/>
            <w:szCs w:val="28"/>
            <w:u w:val="single"/>
            <w:rtl w:val="0"/>
          </w:rPr>
          <w:t xml:space="preserve">huyeron</w:t>
        </w:r>
      </w:hyperlink>
      <w:r w:rsidDel="00000000" w:rsidR="00000000" w:rsidRPr="00000000">
        <w:rPr>
          <w:rFonts w:ascii="Times New Roman" w:cs="Times New Roman" w:eastAsia="Times New Roman" w:hAnsi="Times New Roman"/>
          <w:sz w:val="28"/>
          <w:szCs w:val="28"/>
          <w:rtl w:val="0"/>
        </w:rPr>
        <w:t xml:space="preserve"> de </w:t>
      </w:r>
      <w:r w:rsidDel="00000000" w:rsidR="00000000" w:rsidRPr="00000000">
        <w:rPr>
          <w:rFonts w:ascii="Times New Roman" w:cs="Times New Roman" w:eastAsia="Times New Roman" w:hAnsi="Times New Roman"/>
          <w:sz w:val="28"/>
          <w:szCs w:val="28"/>
          <w:rtl w:val="0"/>
        </w:rPr>
        <w:t xml:space="preserve">estas aldeas en busca de la relativa seguridad del Líbano. Por esas mismas fechas, hombres con acento damasceno, vestidos con uniformes negros y máscaras, y que se hacían llamar Seguridad General, irrumpieron en las casas de familias alauitas en la zona de al-Qadam, en Damasco. Detuvieron a civiles, como maestros y médicos, y amenazaron a las familias con que si presentaban alguna queja “los devolveríamos en un ataúd”.</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conversaciones con personas en Siria dejan muy claro que los ataques no solo tuvieron lugar en el oeste de Siria, a lo largo de la costa, sino también en ciudades del interior del noroeste de Siria (las ciudades de al-Qardaha y Masyaf), en el oeste de Siria (partes de las ciudades de Alepo y Homs) y en el este de Siria (en Deir-ez-Zor y en el valle del río Éufrates). Estos ataques siguen un patrón cuidadoso: casi un pogromo no solo contra las minorías, como se ha informado, sino contra cualquier líder de la resistencia al nuevo régimen que haya intentado provocar una insurgencia. Se trató de una operación de contrainsurgencia llevada a cabo con eficacia y con una fuerza brutal, fuera de la mirada de los medios de comunicación internacionales. Con la misma discreción, el nuevo Gobierno suprimió las rutas logísticas clave de las aldeas montañosas alauitas hacia el Líbano, que les habían permitido rearmarse en caso de que estallara una insurgencia más amplia. Las duras redadas de los antiguos grupos de Al Qaeda en aldeas como Deir al-Bishl, Harf Banmarah y Talkalakh dieron lugar a la ejecución de civiles, la detención y desaparición de líderes clave y la limpieza étnica de algunas de las aldeas (como Balghonas). Parte de esto fue documentado por </w:t>
      </w:r>
      <w:hyperlink r:id="rId18">
        <w:r w:rsidDel="00000000" w:rsidR="00000000" w:rsidRPr="00000000">
          <w:rPr>
            <w:rFonts w:ascii="Times New Roman" w:cs="Times New Roman" w:eastAsia="Times New Roman" w:hAnsi="Times New Roman"/>
            <w:color w:val="1155cc"/>
            <w:sz w:val="28"/>
            <w:szCs w:val="28"/>
            <w:u w:val="single"/>
            <w:rtl w:val="0"/>
          </w:rPr>
          <w:t xml:space="preserve">Human Rights Watch</w:t>
        </w:r>
      </w:hyperlink>
      <w:r w:rsidDel="00000000" w:rsidR="00000000" w:rsidRPr="00000000">
        <w:rPr>
          <w:rFonts w:ascii="Times New Roman" w:cs="Times New Roman" w:eastAsia="Times New Roman" w:hAnsi="Times New Roman"/>
          <w:sz w:val="28"/>
          <w:szCs w:val="28"/>
          <w:rtl w:val="0"/>
        </w:rPr>
        <w:t xml:space="preserve"> y por la </w:t>
      </w:r>
      <w:hyperlink r:id="rId19">
        <w:r w:rsidDel="00000000" w:rsidR="00000000" w:rsidRPr="00000000">
          <w:rPr>
            <w:rFonts w:ascii="Times New Roman" w:cs="Times New Roman" w:eastAsia="Times New Roman" w:hAnsi="Times New Roman"/>
            <w:color w:val="1155cc"/>
            <w:sz w:val="28"/>
            <w:szCs w:val="28"/>
            <w:u w:val="single"/>
            <w:rtl w:val="0"/>
          </w:rPr>
          <w:t xml:space="preserve">Red Siria para los Derechos Humanos</w:t>
        </w:r>
      </w:hyperlink>
      <w:r w:rsidDel="00000000" w:rsidR="00000000" w:rsidRPr="00000000">
        <w:rPr>
          <w:rFonts w:ascii="Times New Roman" w:cs="Times New Roman" w:eastAsia="Times New Roman" w:hAnsi="Times New Roman"/>
          <w:sz w:val="28"/>
          <w:szCs w:val="28"/>
          <w:rtl w:val="0"/>
        </w:rPr>
        <w:t xml:space="preserve">, pero recibió poca atención internacional.</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Comisión Independiente demostró que los autores de esta violencia procedían de los grupos rebeldes que ahora ostentan el poder en Damasco. No obstante, el Gobierno de al-Sharaa tenía otras ideas. Su Comité Nacional de Investigación y Recopilación de Datos</w:t>
      </w:r>
      <w:r w:rsidDel="00000000" w:rsidR="00000000" w:rsidRPr="00000000">
        <w:rPr>
          <w:rFonts w:ascii="Times New Roman" w:cs="Times New Roman" w:eastAsia="Times New Roman" w:hAnsi="Times New Roman"/>
          <w:sz w:val="28"/>
          <w:szCs w:val="28"/>
          <w:rtl w:val="0"/>
        </w:rPr>
        <w:t xml:space="preserve"> </w:t>
      </w:r>
      <w:hyperlink r:id="rId20">
        <w:r w:rsidDel="00000000" w:rsidR="00000000" w:rsidRPr="00000000">
          <w:rPr>
            <w:rFonts w:ascii="Times New Roman" w:cs="Times New Roman" w:eastAsia="Times New Roman" w:hAnsi="Times New Roman"/>
            <w:color w:val="1155cc"/>
            <w:sz w:val="28"/>
            <w:szCs w:val="28"/>
            <w:u w:val="single"/>
            <w:rtl w:val="0"/>
          </w:rPr>
          <w:t xml:space="preserve">argumentó</w:t>
        </w:r>
      </w:hyperlink>
      <w:r w:rsidDel="00000000" w:rsidR="00000000" w:rsidRPr="00000000">
        <w:rPr>
          <w:rFonts w:ascii="Times New Roman" w:cs="Times New Roman" w:eastAsia="Times New Roman" w:hAnsi="Times New Roman"/>
          <w:sz w:val="28"/>
          <w:szCs w:val="28"/>
          <w:rtl w:val="0"/>
        </w:rPr>
        <w:t xml:space="preserve"> que habían identificado a 265 sospechosos, todos ellos “miembros de grupos rebeldes ilegales vinculados al régimen de Assad”. No aceptan la opinión de la Comisión Independiente, ni ofrecen pruebas tangibles de por qué sus conclusiones son diametralmente opuestas a las de las Naciones Unidas. Los investigadores de la ONU</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1155cc"/>
            <w:sz w:val="28"/>
            <w:szCs w:val="28"/>
            <w:u w:val="single"/>
            <w:rtl w:val="0"/>
          </w:rPr>
          <w:t xml:space="preserve">calificaron</w:t>
        </w:r>
      </w:hyperlink>
      <w:r w:rsidDel="00000000" w:rsidR="00000000" w:rsidRPr="00000000">
        <w:rPr>
          <w:rFonts w:ascii="Times New Roman" w:cs="Times New Roman" w:eastAsia="Times New Roman" w:hAnsi="Times New Roman"/>
          <w:sz w:val="28"/>
          <w:szCs w:val="28"/>
          <w:rtl w:val="0"/>
        </w:rPr>
        <w:t xml:space="preserve"> los ataques de “crímenes de guerra”, una expresión que ha sido rechazada por el Gobierno sirio. Además, los grupos de derechos humanos</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1155cc"/>
            <w:sz w:val="28"/>
            <w:szCs w:val="28"/>
            <w:u w:val="single"/>
            <w:rtl w:val="0"/>
          </w:rPr>
          <w:t xml:space="preserve">instan</w:t>
        </w:r>
      </w:hyperlink>
      <w:r w:rsidDel="00000000" w:rsidR="00000000" w:rsidRPr="00000000">
        <w:rPr>
          <w:rFonts w:ascii="Times New Roman" w:cs="Times New Roman" w:eastAsia="Times New Roman" w:hAnsi="Times New Roman"/>
          <w:sz w:val="28"/>
          <w:szCs w:val="28"/>
          <w:rtl w:val="0"/>
        </w:rPr>
        <w:t xml:space="preserve"> al gobierno a promulgar una legislación contra el discurso de odio para impedir el uso del tipo de lenguaje utilizado para atemorizar y atacar a la comunidad alauita, pero el Gobierno también ha rechazado esta propuesta.</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tanto, el Gobierno sirio se ha mostrado dispuesto a profundizar en su proceso de normalización con Israel. Las conversaciones a través de los Emiratos Árabes Unidos dieron como resultado la</w:t>
      </w:r>
      <w:hyperlink r:id="rId23">
        <w:r w:rsidDel="00000000" w:rsidR="00000000" w:rsidRPr="00000000">
          <w:rPr>
            <w:rFonts w:ascii="Times New Roman" w:cs="Times New Roman" w:eastAsia="Times New Roman" w:hAnsi="Times New Roman"/>
            <w:sz w:val="28"/>
            <w:szCs w:val="28"/>
            <w:rtl w:val="0"/>
          </w:rPr>
          <w:t xml:space="preserve"> </w:t>
        </w:r>
      </w:hyperlink>
      <w:hyperlink r:id="rId24">
        <w:r w:rsidDel="00000000" w:rsidR="00000000" w:rsidRPr="00000000">
          <w:rPr>
            <w:rFonts w:ascii="Times New Roman" w:cs="Times New Roman" w:eastAsia="Times New Roman" w:hAnsi="Times New Roman"/>
            <w:color w:val="1155cc"/>
            <w:sz w:val="28"/>
            <w:szCs w:val="28"/>
            <w:u w:val="single"/>
            <w:rtl w:val="0"/>
          </w:rPr>
          <w:t xml:space="preserve">devolución</w:t>
        </w:r>
      </w:hyperlink>
      <w:r w:rsidDel="00000000" w:rsidR="00000000" w:rsidRPr="00000000">
        <w:rPr>
          <w:rFonts w:ascii="Times New Roman" w:cs="Times New Roman" w:eastAsia="Times New Roman" w:hAnsi="Times New Roman"/>
          <w:sz w:val="28"/>
          <w:szCs w:val="28"/>
          <w:rtl w:val="0"/>
        </w:rPr>
        <w:t xml:space="preserve"> del archivo del espía israelí Eli Cohen (ejecutado en Damasco en 1965). Al-Sharaa</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1155cc"/>
            <w:sz w:val="28"/>
            <w:szCs w:val="28"/>
            <w:u w:val="single"/>
            <w:rtl w:val="0"/>
          </w:rPr>
          <w:t xml:space="preserve">declaró</w:t>
        </w:r>
      </w:hyperlink>
      <w:r w:rsidDel="00000000" w:rsidR="00000000" w:rsidRPr="00000000">
        <w:rPr>
          <w:rFonts w:ascii="Times New Roman" w:cs="Times New Roman" w:eastAsia="Times New Roman" w:hAnsi="Times New Roman"/>
          <w:sz w:val="28"/>
          <w:szCs w:val="28"/>
          <w:rtl w:val="0"/>
        </w:rPr>
        <w:t xml:space="preserve"> a los medios de comunicación que “hay muchas posibilidades” de que su Gobierno firme un pacto de seguridad con Israel, la primera declaración abierta sobre la normalización (aunque ha</w:t>
      </w:r>
      <w:hyperlink r:id="rId27">
        <w:r w:rsidDel="00000000" w:rsidR="00000000" w:rsidRPr="00000000">
          <w:rPr>
            <w:rFonts w:ascii="Times New Roman" w:cs="Times New Roman" w:eastAsia="Times New Roman" w:hAnsi="Times New Roman"/>
            <w:sz w:val="28"/>
            <w:szCs w:val="28"/>
            <w:rtl w:val="0"/>
          </w:rPr>
          <w:t xml:space="preserve"> </w:t>
        </w:r>
      </w:hyperlink>
      <w:hyperlink r:id="rId28">
        <w:r w:rsidDel="00000000" w:rsidR="00000000" w:rsidRPr="00000000">
          <w:rPr>
            <w:rFonts w:ascii="Times New Roman" w:cs="Times New Roman" w:eastAsia="Times New Roman" w:hAnsi="Times New Roman"/>
            <w:color w:val="1155cc"/>
            <w:sz w:val="28"/>
            <w:szCs w:val="28"/>
            <w:u w:val="single"/>
            <w:rtl w:val="0"/>
          </w:rPr>
          <w:t xml:space="preserve">dicho</w:t>
        </w:r>
      </w:hyperlink>
      <w:r w:rsidDel="00000000" w:rsidR="00000000" w:rsidRPr="00000000">
        <w:rPr>
          <w:rFonts w:ascii="Times New Roman" w:cs="Times New Roman" w:eastAsia="Times New Roman" w:hAnsi="Times New Roman"/>
          <w:sz w:val="28"/>
          <w:szCs w:val="28"/>
          <w:rtl w:val="0"/>
        </w:rPr>
        <w:t xml:space="preserve"> que Siria no puede adherirse a los Acuerdos de Abraham mientras los Altos del Golán sigan ocupados). La excusa que se da para estas “conversaciones de seguridad” es la protección de los drusos, aunque está claro, como hemos</w:t>
      </w:r>
      <w:r w:rsidDel="00000000" w:rsidR="00000000" w:rsidRPr="00000000">
        <w:rPr>
          <w:rFonts w:ascii="Times New Roman" w:cs="Times New Roman" w:eastAsia="Times New Roman" w:hAnsi="Times New Roman"/>
          <w:sz w:val="28"/>
          <w:szCs w:val="28"/>
          <w:rtl w:val="0"/>
        </w:rPr>
        <w:t xml:space="preserve"> </w:t>
      </w:r>
      <w:hyperlink r:id="rId29">
        <w:r w:rsidDel="00000000" w:rsidR="00000000" w:rsidRPr="00000000">
          <w:rPr>
            <w:rFonts w:ascii="Times New Roman" w:cs="Times New Roman" w:eastAsia="Times New Roman" w:hAnsi="Times New Roman"/>
            <w:color w:val="1155cc"/>
            <w:sz w:val="28"/>
            <w:szCs w:val="28"/>
            <w:u w:val="single"/>
            <w:rtl w:val="0"/>
          </w:rPr>
          <w:t xml:space="preserve">demostrado</w:t>
        </w:r>
      </w:hyperlink>
      <w:r w:rsidDel="00000000" w:rsidR="00000000" w:rsidRPr="00000000">
        <w:rPr>
          <w:rFonts w:ascii="Times New Roman" w:cs="Times New Roman" w:eastAsia="Times New Roman" w:hAnsi="Times New Roman"/>
          <w:sz w:val="28"/>
          <w:szCs w:val="28"/>
          <w:rtl w:val="0"/>
        </w:rPr>
        <w:t xml:space="preserve"> anteriormente, que los ataques israelíes y jordanos contra el sur de Siria tienen que ver principalmente con el tráfico de drogas y con el intento de sofocar cualquier insurgencia contra Damasco. No se habla en ningún sitio de la protección de las minorías alauitas y cristianas, que han sido las más afectadas por los ataques de las fuerzas gubernamentales. Pero, en resumen, no se trata solo de ataques por motivos sectarios; la cuestión clave aquí es que se ha dado carta blanca al Gobierno de Damasco para utilizar la máxima fuerza contra cualquier amenaza a su continuidad en el poder.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ana.sy/en/?p=365511" TargetMode="External"/><Relationship Id="rId22" Type="http://schemas.openxmlformats.org/officeDocument/2006/relationships/hyperlink" Target="https://stj-sy.org/en/syria-the-role-of-hate-speech-in-the-massacres-that-took-place-in-the-coastal-region-in-march-2025/" TargetMode="External"/><Relationship Id="rId21" Type="http://schemas.openxmlformats.org/officeDocument/2006/relationships/hyperlink" Target="https://news.un.org/en/story/2025/08/1165649" TargetMode="External"/><Relationship Id="rId24" Type="http://schemas.openxmlformats.org/officeDocument/2006/relationships/hyperlink" Target="https://www.gov.il/en/pages/official-syrian-archive-on-eli-cohen-brought-to-israel-18-may-2025" TargetMode="External"/><Relationship Id="rId23" Type="http://schemas.openxmlformats.org/officeDocument/2006/relationships/hyperlink" Target="https://www.gov.il/en/pages/official-syrian-archive-on-eli-cohen-brought-to-israel-18-may-202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newpress.com/books/darker-nations" TargetMode="External"/><Relationship Id="rId26" Type="http://schemas.openxmlformats.org/officeDocument/2006/relationships/hyperlink" Target="https://www.jpost.com/israel-news/article-865203" TargetMode="External"/><Relationship Id="rId25" Type="http://schemas.openxmlformats.org/officeDocument/2006/relationships/hyperlink" Target="https://www.jpost.com/israel-news/article-865203" TargetMode="External"/><Relationship Id="rId28" Type="http://schemas.openxmlformats.org/officeDocument/2006/relationships/hyperlink" Target="https://www.aa.com.tr/en/middle-east/syrian-president-rules-out-joining-abraham-accords-to-normalize-ties-with-israel-prepares-for-un-return/3669703" TargetMode="External"/><Relationship Id="rId27" Type="http://schemas.openxmlformats.org/officeDocument/2006/relationships/hyperlink" Target="https://www.aa.com.tr/en/middle-east/syrian-president-rules-out-joining-abraham-accords-to-normalize-ties-with-israel-prepares-for-un-return/3669703"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29" Type="http://schemas.openxmlformats.org/officeDocument/2006/relationships/hyperlink" Target="https://peoplesdispatch.org/2025/07/24/israel-and-the-drug-war-in-syria/" TargetMode="External"/><Relationship Id="rId7" Type="http://schemas.openxmlformats.org/officeDocument/2006/relationships/hyperlink" Target="https://mayday.leftword.com/" TargetMode="External"/><Relationship Id="rId8" Type="http://schemas.openxmlformats.org/officeDocument/2006/relationships/hyperlink" Target="https://thetricontinental.org/es/" TargetMode="External"/><Relationship Id="rId11" Type="http://schemas.openxmlformats.org/officeDocument/2006/relationships/hyperlink" Target="https://www.haymarketbooks.org/books/1869-struggle-makes-us-human" TargetMode="External"/><Relationship Id="rId10" Type="http://schemas.openxmlformats.org/officeDocument/2006/relationships/hyperlink" Target="https://www.versobooks.com/products/2292-the-poorer-nations" TargetMode="External"/><Relationship Id="rId13" Type="http://schemas.openxmlformats.org/officeDocument/2006/relationships/hyperlink" Target="https://capitanswing.com/libros/sobre-cuba/" TargetMode="External"/><Relationship Id="rId12" Type="http://schemas.openxmlformats.org/officeDocument/2006/relationships/hyperlink" Target="https://capitanswing.com/libros/la-retirada/" TargetMode="External"/><Relationship Id="rId15" Type="http://schemas.openxmlformats.org/officeDocument/2006/relationships/hyperlink" Target="https://www.ohchr.org/sites/default/files/documents/hrbodies/hrcouncil/sessions-regular/session59/a-hrc-59-crp4-en.pdf" TargetMode="External"/><Relationship Id="rId14" Type="http://schemas.openxmlformats.org/officeDocument/2006/relationships/hyperlink" Target="https://specialenvoysyria.unmissions.org/sites/default/files/2025-02-%2012_secco_un_special_envoy_for_syria_mr._geir_o._pedersen_briefing_as_delivered_.pdf" TargetMode="External"/><Relationship Id="rId17" Type="http://schemas.openxmlformats.org/officeDocument/2006/relationships/hyperlink" Target="https://reporting.unhcr.org/syria-situation-crisis-regional-flash-update-28" TargetMode="External"/><Relationship Id="rId16" Type="http://schemas.openxmlformats.org/officeDocument/2006/relationships/hyperlink" Target="https://www.ohchr.org/sites/default/files/documents/hrbodies/hrcouncil/sessions-regular/session59/a-hrc-59-crp4-en.pdf" TargetMode="External"/><Relationship Id="rId19" Type="http://schemas.openxmlformats.org/officeDocument/2006/relationships/hyperlink" Target="https://snhr.org/wp-content/uploads/2025/04/M250401E.pdf" TargetMode="External"/><Relationship Id="rId18" Type="http://schemas.openxmlformats.org/officeDocument/2006/relationships/hyperlink" Target="https://www.hrw.org/news/2025/03/10/syria-end-coastal-killing-spree-protect-civil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