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Empresas indias cómplices del genocidio de los palestinos por parte de Israel</w:t>
      </w:r>
    </w:p>
    <w:p w:rsidR="00000000" w:rsidDel="00000000" w:rsidP="00000000" w:rsidRDefault="00000000" w:rsidRPr="00000000" w14:paraId="0000000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Sudhanva Deshpande y Vijay Prashad</w:t>
      </w:r>
    </w:p>
    <w:p w:rsidR="00000000" w:rsidDel="00000000" w:rsidP="00000000" w:rsidRDefault="00000000" w:rsidRPr="00000000" w14:paraId="0000000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Sudhanva Deshpande es una destacada personalidad del teatro indio. Desde 1987, Deshpande colabora como actor y director con Jana Natya Manch (Janam) (Frente Teatral Popular), un grupo activista teatral radical. También dirige Leftword Books, una editorial independiente, como editor jefe, y May Day Bookstore and Café como propietario y barista. En su larga asociación con Janam, Deshpande ha actuado en más de 8.000 representaciones de más de 60 obras de teatro callejero, ha dirigido más de 30 obras de teatro callejero y ha conceptualizado y escrito docenas de obras de teatro y de proscenio sobre temas de relevancia política y social contemporánea.</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Vijay Prashad es un historiador, editor y periodista indio. Es miembro de la redacción y corresponsal en jefe de Globetrotter. Es editor en jefe de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libros más recientes son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Luchar nos hace humanos: aprendiendo de los movimientos por el socialismo</w:t>
        </w:r>
      </w:hyperlink>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y </w:t>
      </w:r>
      <w:hyperlink r:id="rId14">
        <w:r w:rsidDel="00000000" w:rsidR="00000000" w:rsidRPr="00000000">
          <w:rPr>
            <w:rFonts w:ascii="Times New Roman" w:cs="Times New Roman" w:eastAsia="Times New Roman" w:hAnsi="Times New Roman"/>
            <w:i w:val="1"/>
            <w:color w:val="1155cc"/>
            <w:sz w:val="28"/>
            <w:szCs w:val="28"/>
            <w:u w:val="single"/>
            <w:rtl w:val="0"/>
          </w:rPr>
          <w:t xml:space="preserve">Sobre Cuba: 70 años de Revolución y Lucha</w:t>
        </w:r>
      </w:hyperlink>
      <w:r w:rsidDel="00000000" w:rsidR="00000000" w:rsidRPr="00000000">
        <w:rPr>
          <w:rFonts w:ascii="Times New Roman" w:cs="Times New Roman" w:eastAsia="Times New Roman" w:hAnsi="Times New Roman"/>
          <w:sz w:val="28"/>
          <w:szCs w:val="28"/>
          <w:highlight w:val="white"/>
          <w:rtl w:val="0"/>
        </w:rPr>
        <w:t xml:space="preserve"> (los dos últimos en coautoría con Noam Chomsky) y </w:t>
      </w:r>
      <w:hyperlink r:id="rId15">
        <w:r w:rsidDel="00000000" w:rsidR="00000000" w:rsidRPr="00000000">
          <w:rPr>
            <w:rFonts w:ascii="Times New Roman" w:cs="Times New Roman" w:eastAsia="Times New Roman" w:hAnsi="Times New Roman"/>
            <w:i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Oriente Medio/Palestina, Oriente Medio/Israel, Asia/India, Naciones Unidas, Economía, Derecho internacional, Historia, Derechos humanos, Comercio, Noticias, Política</w:t>
      </w:r>
    </w:p>
    <w:p w:rsidR="00000000" w:rsidDel="00000000" w:rsidP="00000000" w:rsidRDefault="00000000" w:rsidRPr="00000000" w14:paraId="00000007">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genocidio israelí de los palestinos ha persistido durante dos años, un “genocidio retransmitido en directo”, como lo denominó Amnistía Internacional en su informe anual de abril de 2025. Hasta ahora, Israel ha asesinado a más de 66.000 palestinos, la inmensa mayoría de los cuales son civiles; 20.000 de los muertos son niños, lo que significa que desde octubre de 2023 ha muerto un niño palestino cada hora. Dos millones de palestinos en Gaza se han visto obligados a permanecer en movimiento mientras Israel sigue bombardeando la pequeña zona con misiles y bombas. Mientras tanto, miles de palestinos en Cisjordania se han enfrentado al desalojo como parte de una política más amplia de limpieza étnica que Israel está impulsando en toda la región entre el río Jordán y el mar Mediterráneo.</w:t>
      </w:r>
    </w:p>
    <w:p w:rsidR="00000000" w:rsidDel="00000000" w:rsidP="00000000" w:rsidRDefault="00000000" w:rsidRPr="00000000" w14:paraId="0000000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estos dos años, Israel ha violado la soberanía de siete Estados, desde Líbano hasta Qatar, matando a un número incontable de personas en estos países sin ninguna sanción oficial de las Naciones Unidas. Esta matanza parece no tener fin, pero la opinión mundial se ha vuelto ahora casi en su totalidad contra Israel. Cuando el primer ministro israelí, Benjamin Netanyahu, que se enfrenta a una orden de detención de la Corte Penal Internacional por crímenes contra la humanidad, habló en las Naciones Unidas, la sala de la Asamblea General estaba casi vacía. Netanyahu ya no es bienvenido en la mayoría de los países.</w:t>
      </w:r>
    </w:p>
    <w:p w:rsidR="00000000" w:rsidDel="00000000" w:rsidP="00000000" w:rsidRDefault="00000000" w:rsidRPr="00000000" w14:paraId="0000000A">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Casi, en su mayoría</w:t>
      </w:r>
    </w:p>
    <w:p w:rsidR="00000000" w:rsidDel="00000000" w:rsidP="00000000" w:rsidRDefault="00000000" w:rsidRPr="00000000" w14:paraId="0000000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Estas precisiones son necesarias porque muchos países siguen prestando apoyo político al genocidio israelí y un amplio apoyo militar a las matanzas masivas. Dos informes recientes miden este apoyo duradero al genocidio de Israel. El</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primero de ellos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De la economía de la ocupación a la economía del genocidio</w:t>
      </w:r>
      <w:r w:rsidDel="00000000" w:rsidR="00000000" w:rsidRPr="00000000">
        <w:rPr>
          <w:rFonts w:ascii="Times New Roman" w:cs="Times New Roman" w:eastAsia="Times New Roman" w:hAnsi="Times New Roman"/>
          <w:sz w:val="28"/>
          <w:szCs w:val="28"/>
          <w:rtl w:val="0"/>
        </w:rPr>
        <w:t xml:space="preserve">, es obra de Francesca Albanese, relatora especial de las Naciones Unidas sobre la situación de los derechos humanos en los territorios palestinos ocupados desde 1967. Publicado en junio de 2025, el informe provocó ataques personales directos y virulentos contra Albanese, que se extendieron incluso a su esposo, que trabaja en el Banco Mundial. El contenido del informe, que se detalla a continuación, no suscitó ninguna refutación por parte de los gobiernos occidentales, a los que les resultaría difícil responder a las afirmaciones fácticas sobre la complicidad de las empresas occidentales en el genocidio.</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segundo</w:t>
        </w:r>
      </w:hyperlink>
      <w:r w:rsidDel="00000000" w:rsidR="00000000" w:rsidRPr="00000000">
        <w:rPr>
          <w:rFonts w:ascii="Times New Roman" w:cs="Times New Roman" w:eastAsia="Times New Roman" w:hAnsi="Times New Roman"/>
          <w:sz w:val="28"/>
          <w:szCs w:val="28"/>
          <w:rtl w:val="0"/>
        </w:rPr>
        <w:t xml:space="preserve"> informe, </w:t>
      </w:r>
      <w:r w:rsidDel="00000000" w:rsidR="00000000" w:rsidRPr="00000000">
        <w:rPr>
          <w:rFonts w:ascii="Times New Roman" w:cs="Times New Roman" w:eastAsia="Times New Roman" w:hAnsi="Times New Roman"/>
          <w:i w:val="1"/>
          <w:sz w:val="28"/>
          <w:szCs w:val="28"/>
          <w:rtl w:val="0"/>
        </w:rPr>
        <w:t xml:space="preserve">Profit and Genocide: Indian Investments in Israel</w:t>
      </w:r>
      <w:r w:rsidDel="00000000" w:rsidR="00000000" w:rsidRPr="00000000">
        <w:rPr>
          <w:rFonts w:ascii="Times New Roman" w:cs="Times New Roman" w:eastAsia="Times New Roman" w:hAnsi="Times New Roman"/>
          <w:sz w:val="28"/>
          <w:szCs w:val="28"/>
          <w:rtl w:val="0"/>
        </w:rPr>
        <w:t xml:space="preserve"> (Beneficios y genocidio: inversiones indias en Israel), fue escrito por Hajira Puthige, del Centro para la Responsabilidad Financiera de Nueva Delhi. Publicado en septiembre de 2025, detalla la complicidad de las empresas indias en el genocidio israelí.</w:t>
      </w:r>
    </w:p>
    <w:p w:rsidR="00000000" w:rsidDel="00000000" w:rsidP="00000000" w:rsidRDefault="00000000" w:rsidRPr="00000000" w14:paraId="0000000D">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Apoyo occidental</w:t>
      </w:r>
    </w:p>
    <w:p w:rsidR="00000000" w:rsidDel="00000000" w:rsidP="00000000" w:rsidRDefault="00000000" w:rsidRPr="00000000" w14:paraId="0000000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aliado más importante de Israel es los Estados Unidos, cuyo gobierno sigue proporcionando apoyo diplomático – los Estados Unidos vetó una sexta resolución del Consejo de Seguridad de la ONU para detener el genocidio en septiembre de 2025 – y suministrando armas y dinero. Desde octubre de 2023, los Estados Unidos </w:t>
      </w:r>
      <w:r w:rsidDel="00000000" w:rsidR="00000000" w:rsidRPr="00000000">
        <w:rPr>
          <w:rFonts w:ascii="Times New Roman" w:cs="Times New Roman" w:eastAsia="Times New Roman" w:hAnsi="Times New Roman"/>
          <w:sz w:val="28"/>
          <w:szCs w:val="28"/>
          <w:rtl w:val="0"/>
        </w:rPr>
        <w:t xml:space="preserve">ha enviado</w:t>
      </w:r>
      <w:r w:rsidDel="00000000" w:rsidR="00000000" w:rsidRPr="00000000">
        <w:rPr>
          <w:rFonts w:ascii="Times New Roman" w:cs="Times New Roman" w:eastAsia="Times New Roman" w:hAnsi="Times New Roman"/>
          <w:sz w:val="28"/>
          <w:szCs w:val="28"/>
          <w:rtl w:val="0"/>
        </w:rPr>
        <w:t xml:space="preserve"> más de mil cargamentos de armas a Israel.</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Aparte de los Estados Unidos, los aliados más cercanos de Israel son los estados de Europa, tanto individualmente como en la Unión Europea. Estos Estados han tomado medidas drásticas contra sus propios ciudadanos por protestar pacíficamente contra el genocidio, mientras que han firmado acuerdos de armas con Israel. Por ejemplo, Alemania inició un importante embargo sobre la venta de armas a Israel, pero al mismo tiempo firmó un acuerdo para importar armas por valor de 350 millones de euros de Israel. Aunque muchos Estados europeos se han comprometido a reconocer a Palestina, esto se ajusta a sus acuerdos existentes para una solución de dos Estados; aún no han sancionado a Israel de ninguna manera por su genocidio.</w:t>
      </w:r>
    </w:p>
    <w:p w:rsidR="00000000" w:rsidDel="00000000" w:rsidP="00000000" w:rsidRDefault="00000000" w:rsidRPr="00000000" w14:paraId="0000001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informe de Albanese, </w:t>
      </w:r>
      <w:r w:rsidDel="00000000" w:rsidR="00000000" w:rsidRPr="00000000">
        <w:rPr>
          <w:rFonts w:ascii="Times New Roman" w:cs="Times New Roman" w:eastAsia="Times New Roman" w:hAnsi="Times New Roman"/>
          <w:i w:val="1"/>
          <w:sz w:val="28"/>
          <w:szCs w:val="28"/>
          <w:rtl w:val="0"/>
        </w:rPr>
        <w:t xml:space="preserve">De la economía de la ocupación a la economía del genocidio</w:t>
      </w:r>
      <w:r w:rsidDel="00000000" w:rsidR="00000000" w:rsidRPr="00000000">
        <w:rPr>
          <w:rFonts w:ascii="Times New Roman" w:cs="Times New Roman" w:eastAsia="Times New Roman" w:hAnsi="Times New Roman"/>
          <w:sz w:val="28"/>
          <w:szCs w:val="28"/>
          <w:rtl w:val="0"/>
        </w:rPr>
        <w:t xml:space="preserve">, demuestra no solo cómo los Estados occidentales han defendido el genocidio de Israel, sino también cómo las empresas occidentales se han beneficiado tanto del genocidio en Gaza como de la ocupación ilegal y el apartheid en todo el territorio israelí, incluido el territorio palestino ocupado. Las empresas occidentales ya no solo están implicadas en el apartheid de Cisjordania, como se ha documentado anteriormente, sino que ahora están integradas en la economía del genocidio. El informe documenta la complicidad en ocho sectores clave: fabricantes de armas, tecnología, construcción, minería, finanzas, seguros, universidades y organizaciones benéficas. Albanese desarrolló una base de datos de 1.000 entidades corporativas, pero solo destacó unas pocas, como Amazon, BlackRock, Caterpillar, Google, Lockheed Martin y Microsoft. Las tecnologías que antes se utilizaban para controlar y despojar a los palestinos ahora se utilizan para infligir violencia masiva y una destrucción inmensa.</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informe afirma que el derecho internacional no ofrece ningún refugio seguro a las empresas cómplices del genocidio. Albanese sostiene que la participación de las empresas en cualquier componente del genocidio viola las normas del </w:t>
      </w:r>
      <w:r w:rsidDel="00000000" w:rsidR="00000000" w:rsidRPr="00000000">
        <w:rPr>
          <w:rFonts w:ascii="Times New Roman" w:cs="Times New Roman" w:eastAsia="Times New Roman" w:hAnsi="Times New Roman"/>
          <w:i w:val="1"/>
          <w:sz w:val="28"/>
          <w:szCs w:val="28"/>
          <w:rtl w:val="0"/>
        </w:rPr>
        <w:t xml:space="preserve">jus cogens</w:t>
      </w:r>
      <w:r w:rsidDel="00000000" w:rsidR="00000000" w:rsidRPr="00000000">
        <w:rPr>
          <w:rFonts w:ascii="Times New Roman" w:cs="Times New Roman" w:eastAsia="Times New Roman" w:hAnsi="Times New Roman"/>
          <w:sz w:val="28"/>
          <w:szCs w:val="28"/>
          <w:rtl w:val="0"/>
        </w:rPr>
        <w:t xml:space="preserve"> (derecho imperativo) y constituye un crimen internacional. Señala que las medidas provisionales de la Corte Internacional de Justicia y las órdenes de detención de la Corte Penal Internacional “señalan el riesgo de que las entidades corporativas – y sus ejecutivos – que participan en </w:t>
      </w:r>
      <w:r w:rsidDel="00000000" w:rsidR="00000000" w:rsidRPr="00000000">
        <w:rPr>
          <w:rFonts w:ascii="Times New Roman" w:cs="Times New Roman" w:eastAsia="Times New Roman" w:hAnsi="Times New Roman"/>
          <w:sz w:val="28"/>
          <w:szCs w:val="28"/>
          <w:rtl w:val="0"/>
        </w:rPr>
        <w:t xml:space="preserve">los [Territorios</w:t>
      </w:r>
      <w:r w:rsidDel="00000000" w:rsidR="00000000" w:rsidRPr="00000000">
        <w:rPr>
          <w:rFonts w:ascii="Times New Roman" w:cs="Times New Roman" w:eastAsia="Times New Roman" w:hAnsi="Times New Roman"/>
          <w:sz w:val="28"/>
          <w:szCs w:val="28"/>
          <w:rtl w:val="0"/>
        </w:rPr>
        <w:t xml:space="preserve"> Palestinos Ocupados] estén implicadas en graves crímenes internacionales”. El informe concluye con un llamamiento a las empresas para que cesen sus relaciones con Israel hasta que finalicen la ocupación y el genocidio. Albanese aboga por sanciones integrales, embargos de armas, la suspensión de los acuerdos comerciales y el enjuiciamiento de los ejecutivos de las empresas para presionar al mundo a que deje de apoyar este genocidio.</w:t>
      </w:r>
    </w:p>
    <w:p w:rsidR="00000000" w:rsidDel="00000000" w:rsidP="00000000" w:rsidRDefault="00000000" w:rsidRPr="00000000" w14:paraId="00000012">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Apoyo indio</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los últimos meses, el primer ministro Narendra Modi y Benjamin Netanyahu se han intercambiado felicitaciones públicas por sus cumpleaños en X. A principios de septiembre de 2025, el ministro de Finanzas de Israel, Bezalel Smotrich, miembro de un partido de extrema derecha que expresa opiniones tan racistas y homófobas que ha sido sancionado por varios gobiernos, incluido el del Reino Unido, encabezó una delegación a Delhi para reunirse con la ministra de Finanzas, Nirmala Sitharaman. Firmaron un importante acuerdo bilateral de inversión para impulsar el comercio y la inversión. Sitharaman destacó la necesidad de una mayor colaboración en “ciberseguridad, defensa, innovación y alta tecnología”.</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Unos días más tarde, la Comisión Internacional Independiente de Investigación de las Naciones Unidas sobre el Territorio Palestino Ocupado, incluida Jerusalén Este, e Israel declaró de manera inequívoca que Israel ha cometido genocidio contra los palestinos en la Franja de Gaza.</w:t>
      </w:r>
    </w:p>
    <w:p w:rsidR="00000000" w:rsidDel="00000000" w:rsidP="00000000" w:rsidRDefault="00000000" w:rsidRPr="00000000" w14:paraId="0000001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los últimos dos años, algunas noticias esporádicas han detallado la continua relación armamentística de la India con Israel. Al-Jazeera publicó informes sobre recientes transferencias de armas, basándose en documentos que habían visto sus periodistas. El informe de Albanese también documenta transferencias de armas de una empresa de Hyderabad a Israel. Sin embargo, hasta hace poco, no se había realizado ningún estudio importante sobre la complicidad de la India en el genocidio. Esta laguna se ha llenado con la publicación del informe de Puthige por parte del Centro para la Responsabilidad Financiera, que detalla la complicidad de la clase multimillonaria india y sus empresas.</w:t>
      </w:r>
    </w:p>
    <w:p w:rsidR="00000000" w:rsidDel="00000000" w:rsidP="00000000" w:rsidRDefault="00000000" w:rsidRPr="00000000" w14:paraId="00000016">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 aquí algunos ejemplos:</w:t>
      </w:r>
    </w:p>
    <w:p w:rsidR="00000000" w:rsidDel="00000000" w:rsidP="00000000" w:rsidRDefault="00000000" w:rsidRPr="00000000" w14:paraId="00000017">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Adani: Adani-Elbit Advanced Systems India, Ltd. fabrica el dron Hermes 900, que se ha utilizado en Gaza. Adani Ports, propietaria de Haifa Ports, es, por lo tanto, propietaria de una instalación de la marina israelí que alberga la flota de submarinos de Israel.</w:t>
      </w:r>
    </w:p>
    <w:p w:rsidR="00000000" w:rsidDel="00000000" w:rsidP="00000000" w:rsidRDefault="00000000" w:rsidRPr="00000000" w14:paraId="0000001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Tata: Tata Consultancy Group ha estado trabajando en el sistema Project Nimbus, que proporciona vigilancia y localización de palestinos en Gaza. Tata ha vendido a Israel vehículos Land Rover, que el ejército israelí ha convertido en el MDT David, un vehículo blindado que utiliza en patrullas en Cisjordania y Gaza.</w:t>
      </w:r>
    </w:p>
    <w:p w:rsidR="00000000" w:rsidDel="00000000" w:rsidP="00000000" w:rsidRDefault="00000000" w:rsidRPr="00000000" w14:paraId="0000001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Ambani: Reliance Jio ha estado trabajando en estrecha colaboración con empresas digitales israelíes para construir la infraestructura digital de Israel, mientras que Reliance Defence ha trabajado con Rafael Advanced Defence Systems para construir sistemas de misiles y drones para el ejército israelí.</w:t>
      </w:r>
    </w:p>
    <w:p w:rsidR="00000000" w:rsidDel="00000000" w:rsidP="00000000" w:rsidRDefault="00000000" w:rsidRPr="00000000" w14:paraId="0000001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Jains: Jain Irrigation, a través de NaanDanJain, trabaja para suministrar y construir sistemas de riego en los asentamientos ilegales israelíes en Cisjordania, en los territorios palestinos ocupados.</w:t>
      </w:r>
    </w:p>
    <w:p w:rsidR="00000000" w:rsidDel="00000000" w:rsidP="00000000" w:rsidRDefault="00000000" w:rsidRPr="00000000" w14:paraId="0000001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informe aporta pruebas de que sectores poderosos e influyentes de la empresa india, al igual que sus homólogos occidentales, son cómplices directos del genocidio.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versobooks.com/products/2292-the-poorer-nations" TargetMode="External"/><Relationship Id="rId10" Type="http://schemas.openxmlformats.org/officeDocument/2006/relationships/hyperlink" Target="https://thenewpress.com/books/darker-nations" TargetMode="External"/><Relationship Id="rId13" Type="http://schemas.openxmlformats.org/officeDocument/2006/relationships/hyperlink" Target="https://capitanswing.com/libros/la-retirada/" TargetMode="External"/><Relationship Id="rId12" Type="http://schemas.openxmlformats.org/officeDocument/2006/relationships/hyperlink" Target="https://www.haymarketbooks.org/books/1869-struggle-makes-us-hum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15" Type="http://schemas.openxmlformats.org/officeDocument/2006/relationships/hyperlink" Target="https://thenewpress.com/books/withdrawal" TargetMode="External"/><Relationship Id="rId14" Type="http://schemas.openxmlformats.org/officeDocument/2006/relationships/hyperlink" Target="https://capitanswing.com/libros/sobre-cuba/" TargetMode="External"/><Relationship Id="rId17" Type="http://schemas.openxmlformats.org/officeDocument/2006/relationships/hyperlink" Target="https://www.un.org/unispal/document/a-hrc-59-23-from-economy-of-occupation-to-economy-of-genocide-report-special-rapporteur-francesca-albanese-palestine-2025/" TargetMode="External"/><Relationship Id="rId16" Type="http://schemas.openxmlformats.org/officeDocument/2006/relationships/hyperlink" Target="https://www.un.org/unispal/document/a-hrc-59-23-from-economy-of-occupation-to-economy-of-genocide-report-special-rapporteur-francesca-albanese-palestine-2025/" TargetMode="External"/><Relationship Id="rId5" Type="http://schemas.openxmlformats.org/officeDocument/2006/relationships/styles" Target="styles.xml"/><Relationship Id="rId19" Type="http://schemas.openxmlformats.org/officeDocument/2006/relationships/hyperlink" Target="https://www.cenfa.org/wp-content/uploads/2025/09/Profit-Genocide_1.pdf" TargetMode="External"/><Relationship Id="rId6" Type="http://schemas.openxmlformats.org/officeDocument/2006/relationships/hyperlink" Target="https://globetrotter.media/" TargetMode="External"/><Relationship Id="rId18" Type="http://schemas.openxmlformats.org/officeDocument/2006/relationships/hyperlink" Target="https://www.cenfa.org/wp-content/uploads/2025/09/Profit-Genocide_1.pdf"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