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Entender la APEC: la creación de cadenas de valor globales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Matthew Phillips y Rory Ainsworthx</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 el Centro Internacional de Estrategia (Seúl, Corea del Sur). Matthew Phillips forma parte del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Centro Internacional de Estrategia</w:t>
        </w:r>
      </w:hyperlink>
      <w:r w:rsidDel="00000000" w:rsidR="00000000" w:rsidRPr="00000000">
        <w:rPr>
          <w:rFonts w:ascii="Times New Roman" w:cs="Times New Roman" w:eastAsia="Times New Roman" w:hAnsi="Times New Roman"/>
          <w:sz w:val="28"/>
          <w:szCs w:val="28"/>
          <w:rtl w:val="0"/>
        </w:rPr>
        <w:t xml:space="preserve"> y lleva más de veinte años viviendo y trabajando en Corea del Sur. Le interesa defender los derechos de los trabajadores y los inmigrantes en todo el mundo. Rory Ainsworth es un estudiante universitario estadounidense que vive en Corea del Sur y es miembro del</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International Strategy Center</w:t>
        </w:r>
      </w:hyperlink>
      <w:r w:rsidDel="00000000" w:rsidR="00000000" w:rsidRPr="00000000">
        <w:rPr>
          <w:rFonts w:ascii="Times New Roman" w:cs="Times New Roman" w:eastAsia="Times New Roman" w:hAnsi="Times New Roman"/>
          <w:sz w:val="28"/>
          <w:szCs w:val="28"/>
          <w:rtl w:val="0"/>
        </w:rPr>
        <w:t xml:space="preserve"> y de la Coalición Estudiantil por Palestina.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International Strategy Center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Asia/Corea del Sur, Regionalismo, Cooperación económica, Historia, Comercio, Trabajo</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Fonts w:ascii="Times New Roman" w:cs="Times New Roman" w:eastAsia="Times New Roman" w:hAnsi="Times New Roman"/>
          <w:sz w:val="28"/>
          <w:szCs w:val="28"/>
          <w:rtl w:val="0"/>
        </w:rPr>
        <w:tab/>
        <w:tab/>
        <w:tab/>
        <w:tab/>
        <w:tab/>
        <w:tab/>
        <w:tab/>
      </w:r>
    </w:p>
    <w:p w:rsidR="00000000" w:rsidDel="00000000" w:rsidP="00000000" w:rsidRDefault="00000000" w:rsidRPr="00000000" w14:paraId="00000007">
      <w:pPr>
        <w:spacing w:after="20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Este es el segundo artículo de una serie que explora la APEC, la trayectoria que hemos recorrido, nuestra coyuntura política actual y el camino a seguir. Nuestro primer artículo se titulaba “¿Qué es la APEC?”.</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comprender nuestra coyuntura política actual es necesario entender la trayectoria neoliberal que ha alimentado las cadenas de valor globales y cómo ha desencadenado la actual reacción que ha culminado en la extorsión arancelaria de Trump. Contrariamente a lo que afirman sus defensores, la globalización neoliberal nunca tuvo que ver con los mercados libres. Siempre implicó la intervención del Estado en nombre de las empresas y los inversionistas. A través del FMI, la OMC y el Banco Mundial, el norte global liderado por los Estados Unidos empoderó a las empresas multinacionales para que explotaran a los trabajadores y los recursos del Sur Global, protegiéndolas del control democrático, mientras desmantelaba los logros del bienestar social posteriores a la Segunda Guerra Mundial dentro de sus propias fronteras.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estancamiento económico de la década de 1970, provocado por la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disminución de la rentabilidad</w:t>
        </w:r>
      </w:hyperlink>
      <w:r w:rsidDel="00000000" w:rsidR="00000000" w:rsidRPr="00000000">
        <w:rPr>
          <w:rFonts w:ascii="Times New Roman" w:cs="Times New Roman" w:eastAsia="Times New Roman" w:hAnsi="Times New Roman"/>
          <w:sz w:val="28"/>
          <w:szCs w:val="28"/>
          <w:rtl w:val="0"/>
        </w:rPr>
        <w:t xml:space="preserve"> de la producción en masa, el aumento de los costos energéticos debido a las políticas petroleras de la OPEP y el fin de los tipos de cambio fijos (después de que Nixon pusiera fin a la convertibilidad del dólar en oro), impulsó y liberó a las empresas para que extendieran su producción a través de las cadenas de valor globales. A medida que la deuda vaciaba sus proyectos de liberación nacional, el sur global suministraría mano de obra barata. La propia APEC surgió en un contexto en el que Japón aumentó masivamente la inversión extranjera directa para</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construir</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cadenas de valor regionales, explotando primero la mano de obra barata en Asia Oriental, luego en el Sudeste Asiático y, finalmente, en China, tras la apreciación del yen tras el Acuerdo del Plaza de 1985.</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Paul Volcker subió los tipos de interés en 1979 para frenar la inflación estadounidense (provocada por el gasto militar de los Estados Unidos en la guerra de Vietnam), aumentó la deuda del Tercer Mundo hasta “</w:t>
      </w:r>
      <w:hyperlink r:id="rId16">
        <w:r w:rsidDel="00000000" w:rsidR="00000000" w:rsidRPr="00000000">
          <w:rPr>
            <w:rFonts w:ascii="Times New Roman" w:cs="Times New Roman" w:eastAsia="Times New Roman" w:hAnsi="Times New Roman"/>
            <w:color w:val="1155cc"/>
            <w:sz w:val="28"/>
            <w:szCs w:val="28"/>
            <w:u w:val="single"/>
            <w:rtl w:val="0"/>
          </w:rPr>
          <w:t xml:space="preserve">niveles catastróficos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.Al exportar sus crisis económicas a los países del Tercer Mundo, los Estados Unidos proporcionó a las empresas multinacionales una palanca para abrir los mercados laborales y de consumo del Sur Global. Más concretamente, el FMI y el Banco Mundial reestructuraron estas economías como condición para sus préstamos para la crisis de pagos y el desarrollo. El FMI impuso</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programas de ajuste estructural</w:t>
        </w:r>
      </w:hyperlink>
      <w:r w:rsidDel="00000000" w:rsidR="00000000" w:rsidRPr="00000000">
        <w:rPr>
          <w:rFonts w:ascii="Times New Roman" w:cs="Times New Roman" w:eastAsia="Times New Roman" w:hAnsi="Times New Roman"/>
          <w:sz w:val="28"/>
          <w:szCs w:val="28"/>
          <w:rtl w:val="0"/>
        </w:rPr>
        <w:t xml:space="preserve"> para abrir las economías del Sur Global a la inversión extranjera directa, mientras que el Banco Mundial creó infraestructuras para</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incorporarlas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las “cadenas de valor globales”. Además, factores tecnológicos y económicos prepararon las condiciones para la globalización neoliberal, como los</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rápidos avances</w:t>
        </w:r>
      </w:hyperlink>
      <w:r w:rsidDel="00000000" w:rsidR="00000000" w:rsidRPr="00000000">
        <w:rPr>
          <w:rFonts w:ascii="Times New Roman" w:cs="Times New Roman" w:eastAsia="Times New Roman" w:hAnsi="Times New Roman"/>
          <w:sz w:val="28"/>
          <w:szCs w:val="28"/>
          <w:rtl w:val="0"/>
        </w:rPr>
        <w:t xml:space="preserve"> en las telecomunicaciones, la informatización y el transporte marítimo de contenedores, que abarataron el transporte y la coordinación.</w:t>
      </w:r>
    </w:p>
    <w:p w:rsidR="00000000" w:rsidDel="00000000" w:rsidP="00000000" w:rsidRDefault="00000000" w:rsidRPr="00000000" w14:paraId="0000000B">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distribución desigual de los beneficios del iPhone</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iPhone de Apple sirve como un caso paradigmático de cómo las cadenas de valor globales (CVG) permiten una eficiencia y una escala sin precedentes, al tiempo que refuerzan las desigualdades en la distribución de los beneficios: aunque su ensamblaje físico lo realizan cientos de miles de trabajadores chinos, la gran mayoría de los beneficios revierten en la empresa estadounidense Apple, dejando a los proveedores y a los trabajadores con una remuneración mínima. Este desequilibrio refleja la lógica central del capitalismo neoliberal, en el que la propiedad intelectual y el poder de las marcas extraen el máximo valor de la mano de obra globalizada y mal remunerada.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controlar el diseño de los productos, el desarrollo de software, la marca y los servicios, Apple obtuvo</w:t>
      </w:r>
      <w:hyperlink r:id="rId22">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el </w:t>
      </w:r>
      <w:hyperlink r:id="rId23">
        <w:r w:rsidDel="00000000" w:rsidR="00000000" w:rsidRPr="00000000">
          <w:rPr>
            <w:rFonts w:ascii="Times New Roman" w:cs="Times New Roman" w:eastAsia="Times New Roman" w:hAnsi="Times New Roman"/>
            <w:color w:val="1155cc"/>
            <w:sz w:val="28"/>
            <w:szCs w:val="28"/>
            <w:u w:val="single"/>
            <w:rtl w:val="0"/>
          </w:rPr>
          <w:t xml:space="preserve">58,5%</w:t>
        </w:r>
      </w:hyperlink>
      <w:r w:rsidDel="00000000" w:rsidR="00000000" w:rsidRPr="00000000">
        <w:rPr>
          <w:rFonts w:ascii="Times New Roman" w:cs="Times New Roman" w:eastAsia="Times New Roman" w:hAnsi="Times New Roman"/>
          <w:sz w:val="28"/>
          <w:szCs w:val="28"/>
          <w:rtl w:val="0"/>
        </w:rPr>
        <w:t xml:space="preserve"> de los beneficios por la venta de cada iPhone 4.</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segundo nivel de distribución de beneficios corresponde a los fabricantes de componentes de alta tecnología, con sede principalmente en Taiwán y Corea del Sur. Estas empresas se dedican a una producción intensiva en capital y tecnológicamente avanzada, pero ganan mucho menos que Apple. Las empresas surcoreanas Samsung y LG, que suministran pantallas OLED y chips de memoria, solo obtuvieron el</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14%</w:t>
        </w:r>
      </w:hyperlink>
      <w:r w:rsidDel="00000000" w:rsidR="00000000" w:rsidRPr="00000000">
        <w:rPr>
          <w:rFonts w:ascii="Times New Roman" w:cs="Times New Roman" w:eastAsia="Times New Roman" w:hAnsi="Times New Roman"/>
          <w:sz w:val="28"/>
          <w:szCs w:val="28"/>
          <w:rtl w:val="0"/>
        </w:rPr>
        <w:t xml:space="preserve"> de la venta de un iPhone 4. Foxconn emplea a cientos de miles de trabajadores para ensamblar iPhones, pero solo recibe el</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1,8%</w:t>
        </w:r>
      </w:hyperlink>
      <w:r w:rsidDel="00000000" w:rsidR="00000000" w:rsidRPr="00000000">
        <w:rPr>
          <w:rFonts w:ascii="Times New Roman" w:cs="Times New Roman" w:eastAsia="Times New Roman" w:hAnsi="Times New Roman"/>
          <w:sz w:val="28"/>
          <w:szCs w:val="28"/>
          <w:rtl w:val="0"/>
        </w:rPr>
        <w:t xml:space="preserve"> de los beneficios por dispositivo.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base de esta jerarquía de beneficios se encuentran los trabajadores chinos que montan físicamente los iPhones. A menudo, la búsqueda de Apple del máximo beneficio</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repercute</w:t>
        </w:r>
      </w:hyperlink>
      <w:r w:rsidDel="00000000" w:rsidR="00000000" w:rsidRPr="00000000">
        <w:rPr>
          <w:rFonts w:ascii="Times New Roman" w:cs="Times New Roman" w:eastAsia="Times New Roman" w:hAnsi="Times New Roman"/>
          <w:sz w:val="28"/>
          <w:szCs w:val="28"/>
          <w:rtl w:val="0"/>
        </w:rPr>
        <w:t xml:space="preserve"> en la variabilidad de la producción de sus productores, lo que obliga a los empleados de estos últimos a trabajar muchas horas y con gran intensidad para satisfacer el aumento de la demanda en un plazo breve.</w:t>
      </w:r>
      <w:hyperlink r:id="rId30">
        <w:r w:rsidDel="00000000" w:rsidR="00000000" w:rsidRPr="00000000">
          <w:rPr>
            <w:rFonts w:ascii="Times New Roman" w:cs="Times New Roman" w:eastAsia="Times New Roman" w:hAnsi="Times New Roman"/>
            <w:color w:val="1155cc"/>
            <w:sz w:val="28"/>
            <w:szCs w:val="28"/>
            <w:u w:val="single"/>
            <w:rtl w:val="0"/>
          </w:rPr>
          <w:t xml:space="preserve"> 250</w:t>
        </w:r>
      </w:hyperlink>
      <w:r w:rsidDel="00000000" w:rsidR="00000000" w:rsidRPr="00000000">
        <w:rPr>
          <w:rFonts w:ascii="Times New Roman" w:cs="Times New Roman" w:eastAsia="Times New Roman" w:hAnsi="Times New Roman"/>
          <w:sz w:val="28"/>
          <w:szCs w:val="28"/>
          <w:rtl w:val="0"/>
        </w:rPr>
        <w:t xml:space="preserve">.</w:t>
      </w:r>
      <w:hyperlink r:id="rId31">
        <w:r w:rsidDel="00000000" w:rsidR="00000000" w:rsidRPr="00000000">
          <w:rPr>
            <w:rFonts w:ascii="Times New Roman" w:cs="Times New Roman" w:eastAsia="Times New Roman" w:hAnsi="Times New Roman"/>
            <w:color w:val="1155cc"/>
            <w:sz w:val="28"/>
            <w:szCs w:val="28"/>
            <w:u w:val="single"/>
            <w:rtl w:val="0"/>
          </w:rPr>
          <w:t xml:space="preserve">000 trabajadores</w:t>
        </w:r>
      </w:hyperlink>
      <w:r w:rsidDel="00000000" w:rsidR="00000000" w:rsidRPr="00000000">
        <w:rPr>
          <w:rFonts w:ascii="Times New Roman" w:cs="Times New Roman" w:eastAsia="Times New Roman" w:hAnsi="Times New Roman"/>
          <w:sz w:val="28"/>
          <w:szCs w:val="28"/>
          <w:rtl w:val="0"/>
        </w:rPr>
        <w:t xml:space="preserve"> montaron el iPhone 4. A pesar del aumento de los salarios en China, en 2023, un trabajador de Foxconn seguía ganando</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menos</w:t>
        </w:r>
      </w:hyperlink>
      <w:r w:rsidDel="00000000" w:rsidR="00000000" w:rsidRPr="00000000">
        <w:rPr>
          <w:rFonts w:ascii="Times New Roman" w:cs="Times New Roman" w:eastAsia="Times New Roman" w:hAnsi="Times New Roman"/>
          <w:sz w:val="28"/>
          <w:szCs w:val="28"/>
          <w:rtl w:val="0"/>
        </w:rPr>
        <w:t xml:space="preserve"> de 3 dólares por hora. Así, China sirve como fábrica del mundo, pero obtiene un valor mínimo de los productos finales. La mayor parte de los beneficios van a parar a Apple, seguida de los proveedores de Asia Oriental, y solo una pequeña parte llega a los trabajadores chinos que soportan los costos humanos de la producción.</w:t>
      </w:r>
    </w:p>
    <w:p w:rsidR="00000000" w:rsidDel="00000000" w:rsidP="00000000" w:rsidRDefault="00000000" w:rsidRPr="00000000" w14:paraId="00000010">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Entornos inversores estables y golpes de Estado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cadenas de valor globales no se construyeron simplemente sobre la base de tratados comerciales y préstamos bancarios. Se erigieron gracias a las intervenciones imperialistas de los Estados Unidos, que apoyaron a innumerables regímenes autoritarios para garantizar la "estabilidad" de los beneficios empresariales y el dominio geopolítico. Desde América Latina hasta Oriente Medio y el sudeste asiático, Washington respaldó a dictadores brutales para mantener salarios bajos, regulaciones débiles y mercados abiertos para el capital estadounidense.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1965, los Estados Unidos</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respaldó</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el brutal asesinato de al menos</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500</w:t>
        </w:r>
      </w:hyperlink>
      <w:r w:rsidDel="00000000" w:rsidR="00000000" w:rsidRPr="00000000">
        <w:rPr>
          <w:rFonts w:ascii="Times New Roman" w:cs="Times New Roman" w:eastAsia="Times New Roman" w:hAnsi="Times New Roman"/>
          <w:sz w:val="28"/>
          <w:szCs w:val="28"/>
          <w:rtl w:val="0"/>
        </w:rPr>
        <w:t xml:space="preserve">.</w:t>
      </w:r>
      <w:hyperlink r:id="rId38">
        <w:r w:rsidDel="00000000" w:rsidR="00000000" w:rsidRPr="00000000">
          <w:rPr>
            <w:rFonts w:ascii="Times New Roman" w:cs="Times New Roman" w:eastAsia="Times New Roman" w:hAnsi="Times New Roman"/>
            <w:color w:val="1155cc"/>
            <w:sz w:val="28"/>
            <w:szCs w:val="28"/>
            <w:u w:val="single"/>
            <w:rtl w:val="0"/>
          </w:rPr>
          <w:t xml:space="preserve">000</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miembros del Partido Comunista Indonesio, asegurando que las compañías petroleras estadounidenses</w:t>
      </w:r>
      <w:hyperlink r:id="rId39">
        <w:r w:rsidDel="00000000" w:rsidR="00000000" w:rsidRPr="00000000">
          <w:rPr>
            <w:rFonts w:ascii="Times New Roman" w:cs="Times New Roman" w:eastAsia="Times New Roman" w:hAnsi="Times New Roman"/>
            <w:sz w:val="28"/>
            <w:szCs w:val="28"/>
            <w:rtl w:val="0"/>
          </w:rPr>
          <w:t xml:space="preserve"> </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no fueran</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nacionalizadas. Utilizando Yakarta como</w:t>
      </w:r>
      <w:hyperlink r:id="rId41">
        <w:r w:rsidDel="00000000" w:rsidR="00000000" w:rsidRPr="00000000">
          <w:rPr>
            <w:rFonts w:ascii="Times New Roman" w:cs="Times New Roman" w:eastAsia="Times New Roman" w:hAnsi="Times New Roman"/>
            <w:sz w:val="28"/>
            <w:szCs w:val="28"/>
            <w:rtl w:val="0"/>
          </w:rPr>
          <w:t xml:space="preserve"> </w:t>
        </w:r>
      </w:hyperlink>
      <w:hyperlink r:id="rId42">
        <w:r w:rsidDel="00000000" w:rsidR="00000000" w:rsidRPr="00000000">
          <w:rPr>
            <w:rFonts w:ascii="Times New Roman" w:cs="Times New Roman" w:eastAsia="Times New Roman" w:hAnsi="Times New Roman"/>
            <w:color w:val="1155cc"/>
            <w:sz w:val="28"/>
            <w:szCs w:val="28"/>
            <w:u w:val="single"/>
            <w:rtl w:val="0"/>
          </w:rPr>
          <w:t xml:space="preserve">modelo a seguir</w:t>
        </w:r>
      </w:hyperlink>
      <w:r w:rsidDel="00000000" w:rsidR="00000000" w:rsidRPr="00000000">
        <w:rPr>
          <w:rFonts w:ascii="Times New Roman" w:cs="Times New Roman" w:eastAsia="Times New Roman" w:hAnsi="Times New Roman"/>
          <w:sz w:val="28"/>
          <w:szCs w:val="28"/>
          <w:rtl w:val="0"/>
        </w:rPr>
        <w:t xml:space="preserve">, Estados Unidos respaldó a Pinochet en 1973 para derrocar a un gobierno socialista elegido democráticamente en Chile con el fin de proteger</w:t>
      </w:r>
      <w:hyperlink r:id="rId43">
        <w:r w:rsidDel="00000000" w:rsidR="00000000" w:rsidRPr="00000000">
          <w:rPr>
            <w:rFonts w:ascii="Times New Roman" w:cs="Times New Roman" w:eastAsia="Times New Roman" w:hAnsi="Times New Roman"/>
            <w:sz w:val="28"/>
            <w:szCs w:val="28"/>
            <w:rtl w:val="0"/>
          </w:rPr>
          <w:t xml:space="preserve"> </w:t>
        </w:r>
      </w:hyperlink>
      <w:hyperlink r:id="rId44">
        <w:r w:rsidDel="00000000" w:rsidR="00000000" w:rsidRPr="00000000">
          <w:rPr>
            <w:rFonts w:ascii="Times New Roman" w:cs="Times New Roman" w:eastAsia="Times New Roman" w:hAnsi="Times New Roman"/>
            <w:color w:val="1155cc"/>
            <w:sz w:val="28"/>
            <w:szCs w:val="28"/>
            <w:u w:val="single"/>
            <w:rtl w:val="0"/>
          </w:rPr>
          <w:t xml:space="preserve">los intereses</w:t>
        </w:r>
      </w:hyperlink>
      <w:r w:rsidDel="00000000" w:rsidR="00000000" w:rsidRPr="00000000">
        <w:rPr>
          <w:rFonts w:ascii="Times New Roman" w:cs="Times New Roman" w:eastAsia="Times New Roman" w:hAnsi="Times New Roman"/>
          <w:sz w:val="28"/>
          <w:szCs w:val="28"/>
          <w:rtl w:val="0"/>
        </w:rPr>
        <w:t xml:space="preserve"> estadounidenses en el cobre.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Guerra Fría, la lógica pasó a ser la “confianza de los inversionistas”. Los Estados Unidos apoyó a Hosni Mubarak en Egipto (</w:t>
      </w:r>
      <w:hyperlink r:id="rId45">
        <w:r w:rsidDel="00000000" w:rsidR="00000000" w:rsidRPr="00000000">
          <w:rPr>
            <w:rFonts w:ascii="Times New Roman" w:cs="Times New Roman" w:eastAsia="Times New Roman" w:hAnsi="Times New Roman"/>
            <w:color w:val="1155cc"/>
            <w:sz w:val="28"/>
            <w:szCs w:val="28"/>
            <w:u w:val="single"/>
            <w:rtl w:val="0"/>
          </w:rPr>
          <w:t xml:space="preserve">1300 millones de dólares anuales</w:t>
        </w:r>
      </w:hyperlink>
      <w:r w:rsidDel="00000000" w:rsidR="00000000" w:rsidRPr="00000000">
        <w:rPr>
          <w:rFonts w:ascii="Times New Roman" w:cs="Times New Roman" w:eastAsia="Times New Roman" w:hAnsi="Times New Roman"/>
          <w:sz w:val="28"/>
          <w:szCs w:val="28"/>
          <w:rtl w:val="0"/>
        </w:rPr>
        <w:t xml:space="preserve"> en ayuda militar) y a la monarquía de Arabia Saudita (donde las ventas de armas reportan miles de millones a las empresas de defensa estadounidenses) para asegurar el flujo de petróleo y reprimir los movimientos obreros. En el golpe de Estado de 2009 en Honduras,</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1155cc"/>
            <w:sz w:val="28"/>
            <w:szCs w:val="28"/>
            <w:u w:val="single"/>
            <w:rtl w:val="0"/>
          </w:rPr>
          <w:t xml:space="preserve">respaldado</w:t>
        </w:r>
      </w:hyperlink>
      <w:r w:rsidDel="00000000" w:rsidR="00000000" w:rsidRPr="00000000">
        <w:rPr>
          <w:rFonts w:ascii="Times New Roman" w:cs="Times New Roman" w:eastAsia="Times New Roman" w:hAnsi="Times New Roman"/>
          <w:sz w:val="28"/>
          <w:szCs w:val="28"/>
          <w:rtl w:val="0"/>
        </w:rPr>
        <w:t xml:space="preserve"> por Hillary Clinton, el objetivo era el acaparamiento de tierras por parte de la agroindustria.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regímenes reprimieron a los sindicatos, privatizaron los bienes públicos y sofocaron brutalmente la disidencia para crear condiciones “favorables” para el capital extranjero. ¿El resultado? Una desigualdad creciente, una corrupción arraigada y una reacción antiamericana (por ejemplo, los secuestradores del 11-S procedentes de Arabia Saudita, aliada de los Estados Unidos).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Washington sigue cambiando la democracia por beneficios, respaldando a Al Sisi en Egipto y a MBS en Arabia Saudí, mientras pregona los “mercados libres”. La lección es clara: la “estabilidad” impuesta por los Estados Unidos significa estabilidad para los inversionistas, no para las personas que viven bajo el yugo de déspotas respaldados por los Estados Unidos.</w:t>
      </w:r>
    </w:p>
    <w:p w:rsidR="00000000" w:rsidDel="00000000" w:rsidP="00000000" w:rsidRDefault="00000000" w:rsidRPr="00000000" w14:paraId="00000016">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Desindustrialización, declive de los sindicatos y auge de la extrema derecha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cambio de la producción estadounidense de las cadenas de valor nacionales a las globales provocó la desindustrialización a partir de la década de 1970. Los consiguientes cierres de fábricas, la deslocalización y el declive de los empleos manufactureros en centros industriales como el Rust Belt remodelaron la economía y la política del país. Esta convulsión económica se vio agravada por la represión de los sindicatos, que habían garantizado salarios dignos y prestaciones a los trabajadores.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medida que </w:t>
      </w:r>
      <w:r w:rsidDel="00000000" w:rsidR="00000000" w:rsidRPr="00000000">
        <w:rPr>
          <w:rFonts w:ascii="Times New Roman" w:cs="Times New Roman" w:eastAsia="Times New Roman" w:hAnsi="Times New Roman"/>
          <w:sz w:val="28"/>
          <w:szCs w:val="28"/>
          <w:rtl w:val="0"/>
        </w:rPr>
        <w:t xml:space="preserve">desaparecían</w:t>
      </w:r>
      <w:r w:rsidDel="00000000" w:rsidR="00000000" w:rsidRPr="00000000">
        <w:rPr>
          <w:rFonts w:ascii="Times New Roman" w:cs="Times New Roman" w:eastAsia="Times New Roman" w:hAnsi="Times New Roman"/>
          <w:sz w:val="28"/>
          <w:szCs w:val="28"/>
          <w:rtl w:val="0"/>
        </w:rPr>
        <w:t xml:space="preserve"> los empleos en el sector manufacturero, también lo hacían las redes de seguridad social que </w:t>
      </w:r>
      <w:r w:rsidDel="00000000" w:rsidR="00000000" w:rsidRPr="00000000">
        <w:rPr>
          <w:rFonts w:ascii="Times New Roman" w:cs="Times New Roman" w:eastAsia="Times New Roman" w:hAnsi="Times New Roman"/>
          <w:sz w:val="28"/>
          <w:szCs w:val="28"/>
          <w:rtl w:val="0"/>
        </w:rPr>
        <w:t xml:space="preserve">amortiguaban</w:t>
      </w:r>
      <w:r w:rsidDel="00000000" w:rsidR="00000000" w:rsidRPr="00000000">
        <w:rPr>
          <w:rFonts w:ascii="Times New Roman" w:cs="Times New Roman" w:eastAsia="Times New Roman" w:hAnsi="Times New Roman"/>
          <w:sz w:val="28"/>
          <w:szCs w:val="28"/>
          <w:rtl w:val="0"/>
        </w:rPr>
        <w:t xml:space="preserve"> los golpes económicos. La desesperación resultante creó un terreno fértil para la extrema derecha, que utilizó la ansiedad económica como arma, convirtiendo a los inmigrantes y las minorías étnicas en chivos expiatorios, mientras dejaba de lado la codicia corporativa y el consenso bipartidista que la permitía. Políticos como Trump canalizan la desilusión de la clase trabajadora hacia agendas nacionalistas y antiobreras que enriquecen aún más a los multimillonarios, al tiempo que ofrecen promesas vacías de renacimiento.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que la mayor parte de la riqueza generada por las cadenas de valor globales va a parar al Norte Global, la parte que le corresponde al Sur Global se ha ido acumulando de forma constante, y ahora este se está afirmando en la escena mundial. El auge de China como potencia multipolar en el mundo, su Iniciativa del Cinturón y Ruta de la Seda y los BRICS se oponen a la hegemonía unipolar de los Estados Unidos. El auge de China presenta un orden mundial multipolar, que los Estados Unidos considera una amenaza para su hegemonía global. En nuestro próximo artículo </w:t>
      </w:r>
      <w:r w:rsidDel="00000000" w:rsidR="00000000" w:rsidRPr="00000000">
        <w:rPr>
          <w:rFonts w:ascii="Times New Roman" w:cs="Times New Roman" w:eastAsia="Times New Roman" w:hAnsi="Times New Roman"/>
          <w:sz w:val="28"/>
          <w:szCs w:val="28"/>
          <w:rtl w:val="0"/>
        </w:rPr>
        <w:t xml:space="preserve">exploraremos</w:t>
      </w:r>
      <w:r w:rsidDel="00000000" w:rsidR="00000000" w:rsidRPr="00000000">
        <w:rPr>
          <w:rFonts w:ascii="Times New Roman" w:cs="Times New Roman" w:eastAsia="Times New Roman" w:hAnsi="Times New Roman"/>
          <w:sz w:val="28"/>
          <w:szCs w:val="28"/>
          <w:rtl w:val="0"/>
        </w:rPr>
        <w:t xml:space="preserve"> el auge de este orden multipolar y la consiguiente Nueva Guerra Fría.</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google.co.kr/books/edition/The_Jakarta_Method/vLysDwAAQBAJ?hl=en&amp;gbpv=1&amp;dq=%E2%80%9Cmade+it+crystal+clear+to+all+assembled+that+the+military+would+not+stand+for+precipitous+moves+against+oil+companies.%E2%80%9D&amp;pg=PT171&amp;printsec=frontcover" TargetMode="External"/><Relationship Id="rId20" Type="http://schemas.openxmlformats.org/officeDocument/2006/relationships/hyperlink" Target="https://www.google.co.kr/books/edition/Super_Imperialism/Yj5nEQAAQBAJ?hl=en&amp;gbpv=1&amp;dq=its+loans+were+mainly+for+electric+power+and+transportation+facilities+to+accomodate+commodities&amp;pg=PA192&amp;printsec=frontcover" TargetMode="External"/><Relationship Id="rId42" Type="http://schemas.openxmlformats.org/officeDocument/2006/relationships/hyperlink" Target="https://monthlyreview.org/2022/06/01/the-jakarta-method-then-and-now/#:~:text=%2C%20Bevins%20posits%20that%20neocolonialism%20has%20been%20significantly%20marked%20by%20U.S.%20counterinsurgency%20via%20the%20%E2%80%9CJakarta%20method%E2%80%9D%20throughout%20the%20long%201960s%20across%20the%20world%2C%20from%20Indonesia%20and%20Brazil%20to%20Guatemala%20and%20Chile." TargetMode="External"/><Relationship Id="rId41" Type="http://schemas.openxmlformats.org/officeDocument/2006/relationships/hyperlink" Target="https://monthlyreview.org/2022/06/01/the-jakarta-method-then-and-now/#:~:text=%2C%20Bevins%20posits%20that%20neocolonialism%20has%20been%20significantly%20marked%20by%20U.S.%20counterinsurgency%20via%20the%20%E2%80%9CJakarta%20method%E2%80%9D%20throughout%20the%20long%201960s%20across%20the%20world%2C%20from%20Indonesia%20and%20Brazil%20to%20Guatemala%20and%20Chile." TargetMode="External"/><Relationship Id="rId22" Type="http://schemas.openxmlformats.org/officeDocument/2006/relationships/hyperlink" Target="https://onlinelibrary.wiley.com/doi/abs/10.1111/ntwe.12008" TargetMode="External"/><Relationship Id="rId44" Type="http://schemas.openxmlformats.org/officeDocument/2006/relationships/hyperlink" Target="https://www.npr.org/2023/09/10/1193755188/chile-coup-50-years-pinochet-kissinger-human-rights-allende" TargetMode="External"/><Relationship Id="rId21" Type="http://schemas.openxmlformats.org/officeDocument/2006/relationships/hyperlink" Target="https://thetricontinental.org/working-document-1/#:~:text=First%2C%20new%20technologies" TargetMode="External"/><Relationship Id="rId43" Type="http://schemas.openxmlformats.org/officeDocument/2006/relationships/hyperlink" Target="https://www.npr.org/2023/09/10/1193755188/chile-coup-50-years-pinochet-kissinger-human-rights-allende" TargetMode="External"/><Relationship Id="rId24" Type="http://schemas.openxmlformats.org/officeDocument/2006/relationships/hyperlink" Target="https://onlinelibrary.wiley.com/doi/abs/10.1111/ntwe.12008" TargetMode="External"/><Relationship Id="rId46" Type="http://schemas.openxmlformats.org/officeDocument/2006/relationships/hyperlink" Target="https://www.theguardian.com/world/2016/aug/31/hillary-clinton-honduras-violence-manuel-zelaya-berta-caceres#:~:text=Clinton%20pushed%20for%20new%20elections%2C%20rather%20than%20the%20return%20of%20Zelaya%2C%20whom%20she%20considered%20a%20leftist%20troublemaker%20in%20the%20mould%20of%20Venezuela%E2%80%99s%20Hugo%20Ch%C3%A1vez." TargetMode="External"/><Relationship Id="rId23" Type="http://schemas.openxmlformats.org/officeDocument/2006/relationships/hyperlink" Target="https://onlinelibrary.wiley.com/doi/abs/10.1111/ntwe.12008" TargetMode="External"/><Relationship Id="rId45" Type="http://schemas.openxmlformats.org/officeDocument/2006/relationships/hyperlink" Target="https://www.bbc.com/news/world-middle-east-2120136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isc.org/home" TargetMode="External"/><Relationship Id="rId26" Type="http://schemas.openxmlformats.org/officeDocument/2006/relationships/hyperlink" Target="https://onlinelibrary.wiley.com/doi/abs/10.1111/ntwe.12008" TargetMode="External"/><Relationship Id="rId25" Type="http://schemas.openxmlformats.org/officeDocument/2006/relationships/hyperlink" Target="https://onlinelibrary.wiley.com/doi/abs/10.1111/ntwe.12008" TargetMode="External"/><Relationship Id="rId47" Type="http://schemas.openxmlformats.org/officeDocument/2006/relationships/hyperlink" Target="https://www.theguardian.com/world/2016/aug/31/hillary-clinton-honduras-violence-manuel-zelaya-berta-caceres#:~:text=Clinton%20pushed%20for%20new%20elections%2C%20rather%20than%20the%20return%20of%20Zelaya%2C%20whom%20she%20considered%20a%20leftist%20troublemaker%20in%20the%20mould%20of%20Venezuela%E2%80%99s%20Hugo%20Ch%C3%A1vez." TargetMode="External"/><Relationship Id="rId28" Type="http://schemas.openxmlformats.org/officeDocument/2006/relationships/hyperlink" Target="https://onlinelibrary.wiley.com/doi/abs/10.1111/ntwe.12008" TargetMode="External"/><Relationship Id="rId27" Type="http://schemas.openxmlformats.org/officeDocument/2006/relationships/hyperlink" Target="https://onlinelibrary.wiley.com/doi/abs/10.1111/ntwe.12008"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onlinelibrary.wiley.com/doi/abs/10.1111/ntwe.12008" TargetMode="External"/><Relationship Id="rId7" Type="http://schemas.openxmlformats.org/officeDocument/2006/relationships/hyperlink" Target="https://globetrotter.media/" TargetMode="External"/><Relationship Id="rId8" Type="http://schemas.openxmlformats.org/officeDocument/2006/relationships/hyperlink" Target="https://www.goisc.org/home" TargetMode="External"/><Relationship Id="rId31" Type="http://schemas.openxmlformats.org/officeDocument/2006/relationships/hyperlink" Target="https://transportgeography.org/contents/chapter7/globalization-international-trade/value-creation-iphone/" TargetMode="External"/><Relationship Id="rId30" Type="http://schemas.openxmlformats.org/officeDocument/2006/relationships/hyperlink" Target="https://transportgeography.org/contents/chapter7/globalization-international-trade/value-creation-iphone/" TargetMode="External"/><Relationship Id="rId11" Type="http://schemas.openxmlformats.org/officeDocument/2006/relationships/hyperlink" Target="https://www.goisc.org/home" TargetMode="External"/><Relationship Id="rId33" Type="http://schemas.openxmlformats.org/officeDocument/2006/relationships/hyperlink" Target="https://www.scmp.com/tech/tech-trends/article/3217551/foxconn-wages-fall-below-us3-hour-shenzhen-apple-shifts-supply-chain-away-china" TargetMode="External"/><Relationship Id="rId10" Type="http://schemas.openxmlformats.org/officeDocument/2006/relationships/hyperlink" Target="https://www.goisc.org/home" TargetMode="External"/><Relationship Id="rId32" Type="http://schemas.openxmlformats.org/officeDocument/2006/relationships/hyperlink" Target="https://www.scmp.com/tech/tech-trends/article/3217551/foxconn-wages-fall-below-us3-hour-shenzhen-apple-shifts-supply-chain-away-china" TargetMode="External"/><Relationship Id="rId13" Type="http://schemas.openxmlformats.org/officeDocument/2006/relationships/hyperlink" Target="https://raphiekaplinsky.com/wp-content/downloads/globalisation-gvcs-and-tncs/papeles-de-europa.pdf#page=5" TargetMode="External"/><Relationship Id="rId35" Type="http://schemas.openxmlformats.org/officeDocument/2006/relationships/hyperlink" Target="https://www.theatlantic.com/international/archive/2017/10/the-indonesia-documents-and-the-us-agenda/543534/" TargetMode="External"/><Relationship Id="rId12" Type="http://schemas.openxmlformats.org/officeDocument/2006/relationships/hyperlink" Target="https://raphiekaplinsky.com/wp-content/downloads/globalisation-gvcs-and-tncs/papeles-de-europa.pdf#page=5" TargetMode="External"/><Relationship Id="rId34" Type="http://schemas.openxmlformats.org/officeDocument/2006/relationships/hyperlink" Target="https://www.theatlantic.com/international/archive/2017/10/the-indonesia-documents-and-the-us-agenda/543534/" TargetMode="External"/><Relationship Id="rId15" Type="http://schemas.openxmlformats.org/officeDocument/2006/relationships/hyperlink" Target="https://www.rba.gov.au/publications/confs/1994/ishida.html#:~:text=Following%20the%20sharp%20appreciation%20of,7%20billion%20(Figure%201)." TargetMode="External"/><Relationship Id="rId37" Type="http://schemas.openxmlformats.org/officeDocument/2006/relationships/hyperlink" Target="https://www.bbc.com/news/world-asia-36076069" TargetMode="External"/><Relationship Id="rId14" Type="http://schemas.openxmlformats.org/officeDocument/2006/relationships/hyperlink" Target="https://www.rba.gov.au/publications/confs/1994/ishida.html#:~:text=Following%20the%20sharp%20appreciation%20of,7%20billion%20(Figure%201)." TargetMode="External"/><Relationship Id="rId36" Type="http://schemas.openxmlformats.org/officeDocument/2006/relationships/hyperlink" Target="https://www.bbc.com/news/world-asia-36076069" TargetMode="External"/><Relationship Id="rId17" Type="http://schemas.openxmlformats.org/officeDocument/2006/relationships/hyperlink" Target="https://fpif.org/investment_liberalization_agenda/" TargetMode="External"/><Relationship Id="rId39" Type="http://schemas.openxmlformats.org/officeDocument/2006/relationships/hyperlink" Target="https://www.google.co.kr/books/edition/The_Jakarta_Method/vLysDwAAQBAJ?hl=en&amp;gbpv=1&amp;dq=%E2%80%9Cmade+it+crystal+clear+to+all+assembled+that+the+military+would+not+stand+for+precipitous+moves+against+oil+companies.%E2%80%9D&amp;pg=PT171&amp;printsec=frontcover" TargetMode="External"/><Relationship Id="rId16" Type="http://schemas.openxmlformats.org/officeDocument/2006/relationships/hyperlink" Target="https://thetricontinental.org/working-document-1/#:~:text=at%20catastrophic%20levels" TargetMode="External"/><Relationship Id="rId38" Type="http://schemas.openxmlformats.org/officeDocument/2006/relationships/hyperlink" Target="https://www.bbc.com/news/world-asia-36076069" TargetMode="External"/><Relationship Id="rId19" Type="http://schemas.openxmlformats.org/officeDocument/2006/relationships/hyperlink" Target="https://www.google.co.kr/books/edition/Super_Imperialism/Yj5nEQAAQBAJ?hl=en&amp;gbpv=1&amp;dq=its+loans+were+mainly+for+electric+power+and+transportation+facilities+to+accomodate+commodities&amp;pg=PA192&amp;printsec=frontcover" TargetMode="External"/><Relationship Id="rId18" Type="http://schemas.openxmlformats.org/officeDocument/2006/relationships/hyperlink" Target="https://fpif.org/investment_liberalization_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