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Los monstruos del interregno de la crisis global </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Resumen: </w:t>
      </w:r>
      <w:r w:rsidDel="00000000" w:rsidR="00000000" w:rsidRPr="00000000">
        <w:rPr>
          <w:rFonts w:ascii="Times New Roman" w:cs="Times New Roman" w:eastAsia="Times New Roman" w:hAnsi="Times New Roman"/>
          <w:sz w:val="28"/>
          <w:szCs w:val="28"/>
          <w:rtl w:val="0"/>
        </w:rPr>
        <w:t xml:space="preserve">Entre el capitalismo en decadencia expresado en las guerras y el neofascismo y la izquierda que pide reconstrucción, los pueblos resisten</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Carmen Navas Reyes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Carmen Navas Reyes es una politóloga venezolana, con maestría en Ecología para el Desarrollo Humano (UNESR). Actualmente cursa un doctorado en Estudios de Nuestra América en la </w:t>
      </w:r>
      <w:hyperlink r:id="rId7">
        <w:r w:rsidDel="00000000" w:rsidR="00000000" w:rsidRPr="00000000">
          <w:rPr>
            <w:rFonts w:ascii="Times New Roman" w:cs="Times New Roman" w:eastAsia="Times New Roman" w:hAnsi="Times New Roman"/>
            <w:color w:val="1155cc"/>
            <w:sz w:val="28"/>
            <w:szCs w:val="28"/>
            <w:u w:val="single"/>
            <w:rtl w:val="0"/>
          </w:rPr>
          <w:t xml:space="preserve">Fundación Centro de Estudios Latinoamericanos Rómulo Gallegos</w:t>
        </w:r>
      </w:hyperlink>
      <w:r w:rsidDel="00000000" w:rsidR="00000000" w:rsidRPr="00000000">
        <w:rPr>
          <w:rFonts w:ascii="Times New Roman" w:cs="Times New Roman" w:eastAsia="Times New Roman" w:hAnsi="Times New Roman"/>
          <w:sz w:val="28"/>
          <w:szCs w:val="28"/>
          <w:rtl w:val="0"/>
        </w:rPr>
        <w:t xml:space="preserve"> CELARG en Venezuela. Forma parte del Consejo Asesor Internacional </w:t>
      </w:r>
      <w:r w:rsidDel="00000000" w:rsidR="00000000" w:rsidRPr="00000000">
        <w:rPr>
          <w:rFonts w:ascii="Times New Roman" w:cs="Times New Roman" w:eastAsia="Times New Roman" w:hAnsi="Times New Roman"/>
          <w:sz w:val="28"/>
          <w:szCs w:val="28"/>
          <w:highlight w:val="white"/>
          <w:rtl w:val="0"/>
        </w:rPr>
        <w:t xml:space="preserve">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Sudamérica/Venezuela, Activismo, Comunidad, Economía, Geopolítica, Migración, Política, Justicia social.</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famosa sentencia del filósofo marxista italiano Antonio Gramsci parece escrita para este momento que vive la humanidad: “Lo viejo no termina de morir y lo nuevo no termina de nacer, en ese interregno surgen los monstruos”. </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mundo atraviesa una crisis civilizatoria en la que el orden capitalista neoliberal, aunque herido de muerte, sigue imponiendo su lógica depredadora, la del uso de la fuerza y el resurgimiento del fascismo, mientras las alternativas emancipatorias no logran consolidarse. En ese vacío, los monstruos proliferan: guerras e intento de recolonización, crisis climática, hambre estructural, colapso del multilateralismo y el Derecho Internacional se pone a servicio de los poderes fácticos del mundo.  </w:t>
      </w:r>
    </w:p>
    <w:p w:rsidR="00000000" w:rsidDel="00000000" w:rsidP="00000000" w:rsidRDefault="00000000" w:rsidRPr="00000000" w14:paraId="0000000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capitalismo y su “</w:t>
      </w:r>
      <w:hyperlink r:id="rId9">
        <w:r w:rsidDel="00000000" w:rsidR="00000000" w:rsidRPr="00000000">
          <w:rPr>
            <w:rFonts w:ascii="Times New Roman" w:cs="Times New Roman" w:eastAsia="Times New Roman" w:hAnsi="Times New Roman"/>
            <w:b w:val="1"/>
            <w:color w:val="800080"/>
            <w:sz w:val="28"/>
            <w:szCs w:val="28"/>
            <w:u w:val="single"/>
            <w:rtl w:val="0"/>
          </w:rPr>
          <w:t xml:space="preserve">crisis terminal</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sistema capitalista globalizado, según el teólogo brasileño Leonardo Boff,  muestra signos </w:t>
      </w:r>
      <w:hyperlink r:id="rId10">
        <w:r w:rsidDel="00000000" w:rsidR="00000000" w:rsidRPr="00000000">
          <w:rPr>
            <w:rFonts w:ascii="Times New Roman" w:cs="Times New Roman" w:eastAsia="Times New Roman" w:hAnsi="Times New Roman"/>
            <w:color w:val="1155cc"/>
            <w:sz w:val="28"/>
            <w:szCs w:val="28"/>
            <w:u w:val="single"/>
            <w:rtl w:val="0"/>
          </w:rPr>
          <w:t xml:space="preserve">terminales </w:t>
        </w:r>
      </w:hyperlink>
      <w:r w:rsidDel="00000000" w:rsidR="00000000" w:rsidRPr="00000000">
        <w:rPr>
          <w:rFonts w:ascii="Times New Roman" w:cs="Times New Roman" w:eastAsia="Times New Roman" w:hAnsi="Times New Roman"/>
          <w:sz w:val="28"/>
          <w:szCs w:val="28"/>
          <w:rtl w:val="0"/>
        </w:rPr>
        <w:t xml:space="preserve">desde hace más de una década: la concentración obscena de riqueza, la </w:t>
      </w:r>
      <w:hyperlink r:id="rId11">
        <w:r w:rsidDel="00000000" w:rsidR="00000000" w:rsidRPr="00000000">
          <w:rPr>
            <w:rFonts w:ascii="Times New Roman" w:cs="Times New Roman" w:eastAsia="Times New Roman" w:hAnsi="Times New Roman"/>
            <w:color w:val="800080"/>
            <w:sz w:val="28"/>
            <w:szCs w:val="28"/>
            <w:u w:val="single"/>
            <w:rtl w:val="0"/>
          </w:rPr>
          <w:t xml:space="preserve">financiarización parasitaria</w:t>
        </w:r>
      </w:hyperlink>
      <w:r w:rsidDel="00000000" w:rsidR="00000000" w:rsidRPr="00000000">
        <w:rPr>
          <w:rFonts w:ascii="Times New Roman" w:cs="Times New Roman" w:eastAsia="Times New Roman" w:hAnsi="Times New Roman"/>
          <w:sz w:val="28"/>
          <w:szCs w:val="28"/>
          <w:rtl w:val="0"/>
        </w:rPr>
        <w:t xml:space="preserve">, las catástrofes planetarias, y la precarización de la vida han llevado a esta crisis, pero esta no ha sido lo suficientemente fuerte para terminar de enterrar a este sistema. El imperialismo occidental – hoy encarnado en la </w:t>
      </w:r>
      <w:hyperlink r:id="rId12">
        <w:r w:rsidDel="00000000" w:rsidR="00000000" w:rsidRPr="00000000">
          <w:rPr>
            <w:rFonts w:ascii="Times New Roman" w:cs="Times New Roman" w:eastAsia="Times New Roman" w:hAnsi="Times New Roman"/>
            <w:color w:val="800080"/>
            <w:sz w:val="28"/>
            <w:szCs w:val="28"/>
            <w:u w:val="single"/>
            <w:rtl w:val="0"/>
          </w:rPr>
          <w:t xml:space="preserve">OTAN y su imposición de incremento del presupuesto</w:t>
        </w:r>
      </w:hyperlink>
      <w:r w:rsidDel="00000000" w:rsidR="00000000" w:rsidRPr="00000000">
        <w:rPr>
          <w:rFonts w:ascii="Times New Roman" w:cs="Times New Roman" w:eastAsia="Times New Roman" w:hAnsi="Times New Roman"/>
          <w:sz w:val="28"/>
          <w:szCs w:val="28"/>
          <w:rtl w:val="0"/>
        </w:rPr>
        <w:t xml:space="preserve"> de guerra a los países miembros, en la guerra económica de los Estados Unidos, especialmente contra China y la imposición de sanciones a Rusia por parte de la Unión Europea – ya no puede ostentarse como antes, pero se resiste a morir. Su decadencia se manifiesta en la inflación global, el retorno de la geopolítica de la guerra fría y el auge de neofascismos como “soluciones” ficticias a la desigualdad.  </w:t>
      </w:r>
    </w:p>
    <w:p w:rsidR="00000000" w:rsidDel="00000000" w:rsidP="00000000" w:rsidRDefault="00000000" w:rsidRPr="00000000" w14:paraId="0000000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izquierda está también en crisis?</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Mientras el capitalismo parece avanzar hacia su descomposición, </w:t>
      </w:r>
      <w:hyperlink r:id="rId13">
        <w:r w:rsidDel="00000000" w:rsidR="00000000" w:rsidRPr="00000000">
          <w:rPr>
            <w:rFonts w:ascii="Times New Roman" w:cs="Times New Roman" w:eastAsia="Times New Roman" w:hAnsi="Times New Roman"/>
            <w:color w:val="800080"/>
            <w:sz w:val="28"/>
            <w:szCs w:val="28"/>
            <w:u w:val="single"/>
            <w:rtl w:val="0"/>
          </w:rPr>
          <w:t xml:space="preserve">la izquierda no logra articular</w:t>
        </w:r>
      </w:hyperlink>
      <w:r w:rsidDel="00000000" w:rsidR="00000000" w:rsidRPr="00000000">
        <w:rPr>
          <w:rFonts w:ascii="Times New Roman" w:cs="Times New Roman" w:eastAsia="Times New Roman" w:hAnsi="Times New Roman"/>
          <w:sz w:val="28"/>
          <w:szCs w:val="28"/>
          <w:rtl w:val="0"/>
        </w:rPr>
        <w:t xml:space="preserve"> un proyecto hegemónico. Las experiencias progresistas en América Latina enfrentan asedio económico, bloqueo, medidas coercitivas unilaterales y judicialización, divisiones y desmovilización popular; la socialdemocracia europea se rinde al neoliberalismo y las alternativas anticapitalistas carecen aún de fuerza global. La fragmentación y lo que parece la falta de estrategias ante las nuevas formas de dominación (como la brecha digital, el gobierno corporativista y el gobierno de las </w:t>
      </w:r>
      <w:hyperlink r:id="rId14">
        <w:r w:rsidDel="00000000" w:rsidR="00000000" w:rsidRPr="00000000">
          <w:rPr>
            <w:rFonts w:ascii="Times New Roman" w:cs="Times New Roman" w:eastAsia="Times New Roman" w:hAnsi="Times New Roman"/>
            <w:i w:val="1"/>
            <w:color w:val="800080"/>
            <w:sz w:val="28"/>
            <w:szCs w:val="28"/>
            <w:u w:val="single"/>
            <w:rtl w:val="0"/>
          </w:rPr>
          <w:t xml:space="preserve">Big Tech</w:t>
        </w:r>
      </w:hyperlink>
      <w:r w:rsidDel="00000000" w:rsidR="00000000" w:rsidRPr="00000000">
        <w:rPr>
          <w:rFonts w:ascii="Times New Roman" w:cs="Times New Roman" w:eastAsia="Times New Roman" w:hAnsi="Times New Roman"/>
          <w:sz w:val="28"/>
          <w:szCs w:val="28"/>
          <w:rtl w:val="0"/>
        </w:rPr>
        <w:t xml:space="preserve">) debilitan la posibilidad del nacimiento de un nuevo orden.  </w:t>
      </w:r>
    </w:p>
    <w:p w:rsidR="00000000" w:rsidDel="00000000" w:rsidP="00000000" w:rsidRDefault="00000000" w:rsidRPr="00000000" w14:paraId="0000000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monstruos del “</w:t>
      </w:r>
      <w:hyperlink r:id="rId15">
        <w:r w:rsidDel="00000000" w:rsidR="00000000" w:rsidRPr="00000000">
          <w:rPr>
            <w:rFonts w:ascii="Times New Roman" w:cs="Times New Roman" w:eastAsia="Times New Roman" w:hAnsi="Times New Roman"/>
            <w:b w:val="1"/>
            <w:color w:val="1155cc"/>
            <w:sz w:val="28"/>
            <w:szCs w:val="28"/>
            <w:u w:val="single"/>
            <w:rtl w:val="0"/>
          </w:rPr>
          <w:t xml:space="preserve">interregno</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limbo histórico, las crisis se multiplican:  </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Guerras y neocolonialismo: Ucrania, Palestina, Sudán, el Sahel, conflictos donde se expolian recursos bajo la retórica de la “defensa de la democracia” o simplemente se apuesta por el caos y la desaparición de los Estados.  </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Catástrofe ambiental: El capitalismo convirtió la naturaleza en “mercancía”, y ahora el planeta sufre incontables incendios, inundaciones y se desertifica. </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Hambre y desigualdad: El </w:t>
      </w:r>
      <w:hyperlink r:id="rId16">
        <w:r w:rsidDel="00000000" w:rsidR="00000000" w:rsidRPr="00000000">
          <w:rPr>
            <w:rFonts w:ascii="Times New Roman" w:cs="Times New Roman" w:eastAsia="Times New Roman" w:hAnsi="Times New Roman"/>
            <w:color w:val="800080"/>
            <w:sz w:val="28"/>
            <w:szCs w:val="28"/>
            <w:u w:val="single"/>
            <w:rtl w:val="0"/>
          </w:rPr>
          <w:t xml:space="preserve">1% posee más</w:t>
        </w:r>
      </w:hyperlink>
      <w:r w:rsidDel="00000000" w:rsidR="00000000" w:rsidRPr="00000000">
        <w:rPr>
          <w:rFonts w:ascii="Times New Roman" w:cs="Times New Roman" w:eastAsia="Times New Roman" w:hAnsi="Times New Roman"/>
          <w:sz w:val="28"/>
          <w:szCs w:val="28"/>
          <w:rtl w:val="0"/>
        </w:rPr>
        <w:t xml:space="preserve"> que el 99%, mientras la ONU informa sobre </w:t>
      </w:r>
      <w:hyperlink r:id="rId17">
        <w:r w:rsidDel="00000000" w:rsidR="00000000" w:rsidRPr="00000000">
          <w:rPr>
            <w:rFonts w:ascii="Times New Roman" w:cs="Times New Roman" w:eastAsia="Times New Roman" w:hAnsi="Times New Roman"/>
            <w:color w:val="800080"/>
            <w:sz w:val="28"/>
            <w:szCs w:val="28"/>
            <w:u w:val="single"/>
            <w:rtl w:val="0"/>
          </w:rPr>
          <w:t xml:space="preserve">735 millones de personas en hambre crónica</w:t>
        </w:r>
      </w:hyperlink>
      <w:r w:rsidDel="00000000" w:rsidR="00000000" w:rsidRPr="00000000">
        <w:rPr>
          <w:rFonts w:ascii="Times New Roman" w:cs="Times New Roman" w:eastAsia="Times New Roman" w:hAnsi="Times New Roman"/>
          <w:sz w:val="28"/>
          <w:szCs w:val="28"/>
          <w:rtl w:val="0"/>
        </w:rPr>
        <w:t xml:space="preserve">, los billonarios baten récords en la obtención de ganancias y ganan apoyo de las corporaciones mediáticas y de </w:t>
      </w:r>
      <w:hyperlink r:id="rId18">
        <w:r w:rsidDel="00000000" w:rsidR="00000000" w:rsidRPr="00000000">
          <w:rPr>
            <w:rFonts w:ascii="Times New Roman" w:cs="Times New Roman" w:eastAsia="Times New Roman" w:hAnsi="Times New Roman"/>
            <w:color w:val="800080"/>
            <w:sz w:val="28"/>
            <w:szCs w:val="28"/>
            <w:u w:val="single"/>
            <w:rtl w:val="0"/>
          </w:rPr>
          <w:t xml:space="preserve">políticos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fracaso del Derecho Internacional: </w:t>
      </w:r>
      <w:hyperlink r:id="rId19">
        <w:r w:rsidDel="00000000" w:rsidR="00000000" w:rsidRPr="00000000">
          <w:rPr>
            <w:rFonts w:ascii="Times New Roman" w:cs="Times New Roman" w:eastAsia="Times New Roman" w:hAnsi="Times New Roman"/>
            <w:color w:val="800080"/>
            <w:sz w:val="28"/>
            <w:szCs w:val="28"/>
            <w:u w:val="single"/>
            <w:rtl w:val="0"/>
          </w:rPr>
          <w:t xml:space="preserve">La Corte Penal Internacional</w:t>
        </w:r>
      </w:hyperlink>
      <w:r w:rsidDel="00000000" w:rsidR="00000000" w:rsidRPr="00000000">
        <w:rPr>
          <w:rFonts w:ascii="Times New Roman" w:cs="Times New Roman" w:eastAsia="Times New Roman" w:hAnsi="Times New Roman"/>
          <w:sz w:val="28"/>
          <w:szCs w:val="28"/>
          <w:rtl w:val="0"/>
        </w:rPr>
        <w:t xml:space="preserve"> juzga a africanos, pero ignora los crímenes de Israel o EEUU; mientras que el Consejo de Seguridad se ha convertido en el club del </w:t>
      </w:r>
      <w:hyperlink r:id="rId20">
        <w:r w:rsidDel="00000000" w:rsidR="00000000" w:rsidRPr="00000000">
          <w:rPr>
            <w:rFonts w:ascii="Times New Roman" w:cs="Times New Roman" w:eastAsia="Times New Roman" w:hAnsi="Times New Roman"/>
            <w:color w:val="800080"/>
            <w:sz w:val="28"/>
            <w:szCs w:val="28"/>
            <w:u w:val="single"/>
            <w:rtl w:val="0"/>
          </w:rPr>
          <w:t xml:space="preserve">veto</w:t>
        </w:r>
      </w:hyperlink>
      <w:r w:rsidDel="00000000" w:rsidR="00000000" w:rsidRPr="00000000">
        <w:rPr>
          <w:rFonts w:ascii="Times New Roman" w:cs="Times New Roman" w:eastAsia="Times New Roman" w:hAnsi="Times New Roman"/>
          <w:sz w:val="28"/>
          <w:szCs w:val="28"/>
          <w:rtl w:val="0"/>
        </w:rPr>
        <w:t xml:space="preserve">. Además </w:t>
      </w:r>
      <w:r w:rsidDel="00000000" w:rsidR="00000000" w:rsidRPr="00000000">
        <w:rPr>
          <w:rFonts w:ascii="Times New Roman" w:cs="Times New Roman" w:eastAsia="Times New Roman" w:hAnsi="Times New Roman"/>
          <w:sz w:val="28"/>
          <w:szCs w:val="28"/>
          <w:rtl w:val="0"/>
        </w:rPr>
        <w:t xml:space="preserve">la reforma de las Naciones Unidas se ha colocado como una cuestión clave para el Sur Global, como se vio en la última reunión de los </w:t>
      </w:r>
      <w:r w:rsidDel="00000000" w:rsidR="00000000" w:rsidRPr="00000000">
        <w:rPr>
          <w:rFonts w:ascii="Times New Roman" w:cs="Times New Roman" w:eastAsia="Times New Roman" w:hAnsi="Times New Roman"/>
          <w:color w:val="800080"/>
          <w:sz w:val="28"/>
          <w:szCs w:val="28"/>
          <w:rtl w:val="0"/>
        </w:rPr>
        <w:t xml:space="preserve">BRICS</w:t>
      </w:r>
      <w:r w:rsidDel="00000000" w:rsidR="00000000" w:rsidRPr="00000000">
        <w:rPr>
          <w:rFonts w:ascii="Times New Roman" w:cs="Times New Roman" w:eastAsia="Times New Roman" w:hAnsi="Times New Roman"/>
          <w:sz w:val="28"/>
          <w:szCs w:val="28"/>
          <w:rtl w:val="0"/>
        </w:rPr>
        <w:t xml:space="preserve"> en Río de Janeiro, Brasil. </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800080"/>
            <w:sz w:val="28"/>
            <w:szCs w:val="28"/>
            <w:u w:val="single"/>
            <w:rtl w:val="0"/>
          </w:rPr>
          <w:t xml:space="preserve">Criminalización de migrantes</w:t>
        </w:r>
      </w:hyperlink>
      <w:r w:rsidDel="00000000" w:rsidR="00000000" w:rsidRPr="00000000">
        <w:rPr>
          <w:rFonts w:ascii="Times New Roman" w:cs="Times New Roman" w:eastAsia="Times New Roman" w:hAnsi="Times New Roman"/>
          <w:sz w:val="28"/>
          <w:szCs w:val="28"/>
          <w:rtl w:val="0"/>
        </w:rPr>
        <w:t xml:space="preserve">, en los primeros seis meses del segundo Gobierno, el presidente Donald Trump ha iniciado una fuerte campaña pública contra la presencia de migrantes, especialmente latinoamericanos, en Estados Unidos. Esta campaña ha sido también la base de una agresiva </w:t>
      </w:r>
      <w:hyperlink r:id="rId22">
        <w:r w:rsidDel="00000000" w:rsidR="00000000" w:rsidRPr="00000000">
          <w:rPr>
            <w:rFonts w:ascii="Times New Roman" w:cs="Times New Roman" w:eastAsia="Times New Roman" w:hAnsi="Times New Roman"/>
            <w:color w:val="800080"/>
            <w:sz w:val="28"/>
            <w:szCs w:val="28"/>
            <w:u w:val="single"/>
            <w:rtl w:val="0"/>
          </w:rPr>
          <w:t xml:space="preserve">política </w:t>
        </w:r>
      </w:hyperlink>
      <w:hyperlink r:id="rId23">
        <w:r w:rsidDel="00000000" w:rsidR="00000000" w:rsidRPr="00000000">
          <w:rPr>
            <w:rFonts w:ascii="Times New Roman" w:cs="Times New Roman" w:eastAsia="Times New Roman" w:hAnsi="Times New Roman"/>
            <w:color w:val="800080"/>
            <w:sz w:val="28"/>
            <w:szCs w:val="28"/>
            <w:u w:val="single"/>
            <w:rtl w:val="0"/>
          </w:rPr>
          <w:t xml:space="preserve">antimigratoria</w:t>
        </w:r>
      </w:hyperlink>
      <w:r w:rsidDel="00000000" w:rsidR="00000000" w:rsidRPr="00000000">
        <w:rPr>
          <w:rFonts w:ascii="Times New Roman" w:cs="Times New Roman" w:eastAsia="Times New Roman" w:hAnsi="Times New Roman"/>
          <w:sz w:val="28"/>
          <w:szCs w:val="28"/>
          <w:rtl w:val="0"/>
        </w:rPr>
        <w:t xml:space="preserve"> que va desde la revocación de programas como el </w:t>
      </w:r>
      <w:r w:rsidDel="00000000" w:rsidR="00000000" w:rsidRPr="00000000">
        <w:rPr>
          <w:rFonts w:ascii="Times New Roman" w:cs="Times New Roman" w:eastAsia="Times New Roman" w:hAnsi="Times New Roman"/>
          <w:i w:val="1"/>
          <w:sz w:val="28"/>
          <w:szCs w:val="28"/>
          <w:rtl w:val="0"/>
        </w:rPr>
        <w:t xml:space="preserve">Parole Humanitario</w:t>
      </w:r>
      <w:r w:rsidDel="00000000" w:rsidR="00000000" w:rsidRPr="00000000">
        <w:rPr>
          <w:rFonts w:ascii="Times New Roman" w:cs="Times New Roman" w:eastAsia="Times New Roman" w:hAnsi="Times New Roman"/>
          <w:sz w:val="28"/>
          <w:szCs w:val="28"/>
          <w:rtl w:val="0"/>
        </w:rPr>
        <w:t xml:space="preserve">, cancelación del estatus de protección temporal (</w:t>
      </w:r>
      <w:r w:rsidDel="00000000" w:rsidR="00000000" w:rsidRPr="00000000">
        <w:rPr>
          <w:rFonts w:ascii="Times New Roman" w:cs="Times New Roman" w:eastAsia="Times New Roman" w:hAnsi="Times New Roman"/>
          <w:i w:val="1"/>
          <w:sz w:val="28"/>
          <w:szCs w:val="28"/>
          <w:rtl w:val="0"/>
        </w:rPr>
        <w:t xml:space="preserve">TPS</w:t>
      </w:r>
      <w:r w:rsidDel="00000000" w:rsidR="00000000" w:rsidRPr="00000000">
        <w:rPr>
          <w:rFonts w:ascii="Times New Roman" w:cs="Times New Roman" w:eastAsia="Times New Roman" w:hAnsi="Times New Roman"/>
          <w:sz w:val="28"/>
          <w:szCs w:val="28"/>
          <w:rtl w:val="0"/>
        </w:rPr>
        <w:t xml:space="preserve">, siglas en inglés) las deportaciones masivas, </w:t>
      </w:r>
      <w:hyperlink r:id="rId24">
        <w:r w:rsidDel="00000000" w:rsidR="00000000" w:rsidRPr="00000000">
          <w:rPr>
            <w:rFonts w:ascii="Times New Roman" w:cs="Times New Roman" w:eastAsia="Times New Roman" w:hAnsi="Times New Roman"/>
            <w:color w:val="800080"/>
            <w:sz w:val="28"/>
            <w:szCs w:val="28"/>
            <w:u w:val="single"/>
            <w:rtl w:val="0"/>
          </w:rPr>
          <w:t xml:space="preserve">separación de familias y desvinculación de infantes</w:t>
        </w:r>
      </w:hyperlink>
      <w:r w:rsidDel="00000000" w:rsidR="00000000" w:rsidRPr="00000000">
        <w:rPr>
          <w:rFonts w:ascii="Times New Roman" w:cs="Times New Roman" w:eastAsia="Times New Roman" w:hAnsi="Times New Roman"/>
          <w:sz w:val="28"/>
          <w:szCs w:val="28"/>
          <w:rtl w:val="0"/>
        </w:rPr>
        <w:t xml:space="preserve"> de sus padres y madres, hasta la instalación de un sistema internacional de </w:t>
      </w:r>
      <w:hyperlink r:id="rId25">
        <w:r w:rsidDel="00000000" w:rsidR="00000000" w:rsidRPr="00000000">
          <w:rPr>
            <w:rFonts w:ascii="Times New Roman" w:cs="Times New Roman" w:eastAsia="Times New Roman" w:hAnsi="Times New Roman"/>
            <w:color w:val="800080"/>
            <w:sz w:val="28"/>
            <w:szCs w:val="28"/>
            <w:u w:val="single"/>
            <w:rtl w:val="0"/>
          </w:rPr>
          <w:t xml:space="preserve">cárceles altamente sofisticado</w:t>
        </w:r>
      </w:hyperlink>
      <w:r w:rsidDel="00000000" w:rsidR="00000000" w:rsidRPr="00000000">
        <w:rPr>
          <w:rFonts w:ascii="Times New Roman" w:cs="Times New Roman" w:eastAsia="Times New Roman" w:hAnsi="Times New Roman"/>
          <w:sz w:val="28"/>
          <w:szCs w:val="28"/>
          <w:rtl w:val="0"/>
        </w:rPr>
        <w:t xml:space="preserve"> y violatorio de derechos humanos.</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obstante, esta política no es exclusiva, ni fue iniciada por el Gobierno Trump, como señala el testimonio de </w:t>
      </w:r>
      <w:hyperlink r:id="rId26">
        <w:r w:rsidDel="00000000" w:rsidR="00000000" w:rsidRPr="00000000">
          <w:rPr>
            <w:rFonts w:ascii="Times New Roman" w:cs="Times New Roman" w:eastAsia="Times New Roman" w:hAnsi="Times New Roman"/>
            <w:color w:val="800080"/>
            <w:sz w:val="28"/>
            <w:szCs w:val="28"/>
            <w:u w:val="single"/>
            <w:rtl w:val="0"/>
          </w:rPr>
          <w:t xml:space="preserve">Gladys Caricote</w:t>
        </w:r>
      </w:hyperlink>
      <w:r w:rsidDel="00000000" w:rsidR="00000000" w:rsidRPr="00000000">
        <w:rPr>
          <w:rFonts w:ascii="Times New Roman" w:cs="Times New Roman" w:eastAsia="Times New Roman" w:hAnsi="Times New Roman"/>
          <w:sz w:val="28"/>
          <w:szCs w:val="28"/>
          <w:rtl w:val="0"/>
        </w:rPr>
        <w:t xml:space="preserve">, una de las mujeres venezolanas deportadas desde los Estados Unidos a Venezuela. En su testimonio detalla la política discriminatoria de los gobiernos estadounidenses tras haber estado recluida en un centro de detención de migrantes (ICE por sus siglas en inglés) por más de 10 meses, lo que significa que fue desde el Gobierno de Joe Biden, el 46 Presidente de los Estados Unidos (Partido Demócrata, 2021/2025), cuando se recrudeció esta política restrictiva para </w:t>
      </w:r>
      <w:hyperlink r:id="rId27">
        <w:r w:rsidDel="00000000" w:rsidR="00000000" w:rsidRPr="00000000">
          <w:rPr>
            <w:rFonts w:ascii="Times New Roman" w:cs="Times New Roman" w:eastAsia="Times New Roman" w:hAnsi="Times New Roman"/>
            <w:color w:val="800080"/>
            <w:sz w:val="28"/>
            <w:szCs w:val="28"/>
            <w:u w:val="single"/>
            <w:rtl w:val="0"/>
          </w:rPr>
          <w:t xml:space="preserve">migrantes de Venezuela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¿Hay salida?</w:t>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hyperlink r:id="rId28">
        <w:r w:rsidDel="00000000" w:rsidR="00000000" w:rsidRPr="00000000">
          <w:rPr>
            <w:rFonts w:ascii="Times New Roman" w:cs="Times New Roman" w:eastAsia="Times New Roman" w:hAnsi="Times New Roman"/>
            <w:color w:val="1155cc"/>
            <w:sz w:val="28"/>
            <w:szCs w:val="28"/>
            <w:u w:val="single"/>
            <w:rtl w:val="0"/>
          </w:rPr>
          <w:t xml:space="preserve">Qué se requiere para construir alternativas</w:t>
        </w:r>
      </w:hyperlink>
      <w:r w:rsidDel="00000000" w:rsidR="00000000" w:rsidRPr="00000000">
        <w:rPr>
          <w:rFonts w:ascii="Times New Roman" w:cs="Times New Roman" w:eastAsia="Times New Roman" w:hAnsi="Times New Roman"/>
          <w:sz w:val="28"/>
          <w:szCs w:val="28"/>
          <w:rtl w:val="0"/>
        </w:rPr>
        <w:t xml:space="preserve">? ¿Cómo ayuda el Sur Global? ¿sirve de algo crear nuevas formas de democracia, organización popular, internacionalismo de clase? </w:t>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cumbre de los BRICS celebrada en Río de Janeiro, Brasil, el 06 y 07 de julio fue un evento clave, ya que representó un contrapeso al orden económico y político dominado por Occidente, de igual forma su progresiva expansión (en 2023-2024 los BRICS aceptaron nuevos miembros como Egipto, Etiopía, Irán, Arabia Saudita, Emiratos Árabes Unidos) a pesar de los diferentes criterios entre los países miembros sobre este tema, ha significado una mayor representación del Sur Global, aun cuando no está exento de tensiones, como el caso de la oposición de Brasil al ingreso de Venezuela.  </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cumbre, que contó con una declaración de </w:t>
      </w:r>
      <w:hyperlink r:id="rId29">
        <w:r w:rsidDel="00000000" w:rsidR="00000000" w:rsidRPr="00000000">
          <w:rPr>
            <w:rFonts w:ascii="Times New Roman" w:cs="Times New Roman" w:eastAsia="Times New Roman" w:hAnsi="Times New Roman"/>
            <w:color w:val="1155cc"/>
            <w:sz w:val="28"/>
            <w:szCs w:val="28"/>
            <w:u w:val="single"/>
            <w:rtl w:val="0"/>
          </w:rPr>
          <w:t xml:space="preserve">126 puntos</w:t>
        </w:r>
      </w:hyperlink>
      <w:r w:rsidDel="00000000" w:rsidR="00000000" w:rsidRPr="00000000">
        <w:rPr>
          <w:rFonts w:ascii="Times New Roman" w:cs="Times New Roman" w:eastAsia="Times New Roman" w:hAnsi="Times New Roman"/>
          <w:sz w:val="28"/>
          <w:szCs w:val="28"/>
          <w:rtl w:val="0"/>
        </w:rPr>
        <w:t xml:space="preserve">, tuvo una </w:t>
      </w:r>
      <w:hyperlink r:id="rId30">
        <w:r w:rsidDel="00000000" w:rsidR="00000000" w:rsidRPr="00000000">
          <w:rPr>
            <w:rFonts w:ascii="Times New Roman" w:cs="Times New Roman" w:eastAsia="Times New Roman" w:hAnsi="Times New Roman"/>
            <w:color w:val="1155cc"/>
            <w:sz w:val="28"/>
            <w:szCs w:val="28"/>
            <w:u w:val="single"/>
            <w:rtl w:val="0"/>
          </w:rPr>
          <w:t xml:space="preserve">rápida respuesta por parte del presidente Donald Trump</w:t>
        </w:r>
      </w:hyperlink>
      <w:r w:rsidDel="00000000" w:rsidR="00000000" w:rsidRPr="00000000">
        <w:rPr>
          <w:rFonts w:ascii="Times New Roman" w:cs="Times New Roman" w:eastAsia="Times New Roman" w:hAnsi="Times New Roman"/>
          <w:sz w:val="28"/>
          <w:szCs w:val="28"/>
          <w:rtl w:val="0"/>
        </w:rPr>
        <w:t xml:space="preserve"> quien calificó como amenaza a los Estados Unidos la propuesta de desdolarizar las transacciones económicas del grupo, promoviendo pagos en monedas locales y mecanismos como el Nuevo Banco de Desarrollo (NDB), y amenazó con aumento de aranceles a los países que apoyan esta acción. </w:t>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Otro hecho importante, evidenciado en la declaración final de esta reunión, fue la </w:t>
      </w:r>
      <w:hyperlink r:id="rId31">
        <w:r w:rsidDel="00000000" w:rsidR="00000000" w:rsidRPr="00000000">
          <w:rPr>
            <w:rFonts w:ascii="Times New Roman" w:cs="Times New Roman" w:eastAsia="Times New Roman" w:hAnsi="Times New Roman"/>
            <w:color w:val="1155cc"/>
            <w:sz w:val="28"/>
            <w:szCs w:val="28"/>
            <w:u w:val="single"/>
            <w:rtl w:val="0"/>
          </w:rPr>
          <w:t xml:space="preserve">sesión del Consejo Civil</w:t>
        </w:r>
      </w:hyperlink>
      <w:r w:rsidDel="00000000" w:rsidR="00000000" w:rsidRPr="00000000">
        <w:rPr>
          <w:rFonts w:ascii="Times New Roman" w:cs="Times New Roman" w:eastAsia="Times New Roman" w:hAnsi="Times New Roman"/>
          <w:sz w:val="28"/>
          <w:szCs w:val="28"/>
          <w:rtl w:val="0"/>
        </w:rPr>
        <w:t xml:space="preserve">, a la cual los movimientos presentes en Brasil han denominado  “Consejo Popular del BRICS”, impulsado en el encuentro del año pasado en Kazan, Rusia, como Foro Civil, aun cuando no está institucionalizado en ninguna instancia del bloque político. Sin embargo, las potencialidades de este Consejo, no solo para los propios países Brics, sino incluso para nuestros países del Sur, lo resume la lectura de la declaración consensuada del Consejo realizada por João Pedro Stedile, de la Coordinación Nacional del Movimiento de los Trabajadores Rurales Sin Tierra (MST) y de la Coordinación Política de ALBA Movimientos, quien resumió que “la participación formal del Consejo Popular es histórica porque consolida un método. Todos están de acuerdo en que los problemas que enfrentan los pueblos no se resolverán sólo con iniciativas gubernamentales”, no obstante, todos parecen tener claro que no será un proceso fácil, teniendo en cuenta que las presidencias rotativas del grupo determinan los enfoques. </w:t>
      </w:r>
    </w:p>
    <w:p w:rsidR="00000000" w:rsidDel="00000000" w:rsidP="00000000" w:rsidRDefault="00000000" w:rsidRPr="00000000" w14:paraId="0000001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próximo año, la presidencia va a India, que podría tener otra visión del rol de las organizaciones populares en BRICS, pero lo importante es que ya es una decisión de las organizaciones populares de acompañar esta instancia geopolítica como una alternativa a las crisis ya planteadas, siendo esta otra forma en que los movimientos y las organizaciones populares plantan cara a los monstruos que han surgido en esta etapa, como también lo han hecho con acciones masivas contra los ataques a Irán, la violencia extrema de Israel en Gaza y en toda Palestina, el secuestro de migrantes, en defensa de la soberanía de los países del Sahel, etc.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vistadigital.sre.gob.mx/index.php/rmpe/article/download/2587/2492/2515" TargetMode="External"/><Relationship Id="rId22" Type="http://schemas.openxmlformats.org/officeDocument/2006/relationships/hyperlink" Target="https://www.hrw.org/es/news/2025/02/20/diez-politicas-peligrosas-del-gobierno-trump-sobre-migracion-y-refugiados" TargetMode="External"/><Relationship Id="rId21" Type="http://schemas.openxmlformats.org/officeDocument/2006/relationships/hyperlink" Target="https://www.whitehouse.gov/fact-sheets/2025/06/fact-sheet-president-donald-j-trump-restricts-the-entry-of-foreign-nationals-to-protect-the-united-states-from-foreign-terrorists-and-other-national-security-and-public-safety-threats/" TargetMode="External"/><Relationship Id="rId24" Type="http://schemas.openxmlformats.org/officeDocument/2006/relationships/hyperlink" Target="https://misionverdad.com/venezuela/secuestro-infantil-de-eeuu-otro-capitulo-siniestro-contra-la-migracion-venezolana" TargetMode="External"/><Relationship Id="rId23" Type="http://schemas.openxmlformats.org/officeDocument/2006/relationships/hyperlink" Target="https://www.hrw.org/es/news/2025/02/20/diez-politicas-peligrosas-del-gobierno-trump-sobre-migracion-y-refugiad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lo.org.mx/scielo.php?script=sci_arttext&amp;pid=S1870-00632010000200004" TargetMode="External"/><Relationship Id="rId26" Type="http://schemas.openxmlformats.org/officeDocument/2006/relationships/hyperlink" Target="https://www.youtube.com/watch?v=Ob3Dg5RxjXU" TargetMode="External"/><Relationship Id="rId25" Type="http://schemas.openxmlformats.org/officeDocument/2006/relationships/hyperlink" Target="https://apnews.com/article/mexico-sheinbaum-trump-carcel-migrantes-florida-eab2cb83467070af803930b8eed78441" TargetMode="External"/><Relationship Id="rId28" Type="http://schemas.openxmlformats.org/officeDocument/2006/relationships/hyperlink" Target="https://thetricontinental.org/es/boletin-na-multipolaridad-sur-global/?output=pdf" TargetMode="External"/><Relationship Id="rId27" Type="http://schemas.openxmlformats.org/officeDocument/2006/relationships/hyperlink" Target="https://www.bbc.com/mundo/articles/c6p4zp4re6lo"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tinyurl.com/43t6f6z3" TargetMode="External"/><Relationship Id="rId7" Type="http://schemas.openxmlformats.org/officeDocument/2006/relationships/hyperlink" Target="https://www.celarg.org.ve/" TargetMode="External"/><Relationship Id="rId8" Type="http://schemas.openxmlformats.org/officeDocument/2006/relationships/hyperlink" Target="https://thetricontinental.org/es/" TargetMode="External"/><Relationship Id="rId31" Type="http://schemas.openxmlformats.org/officeDocument/2006/relationships/hyperlink" Target="https://www.brasildefato.com.br/2025/07/07/cupula-do-brics-conselho-popular-e-citado-em-declaracao-final-dos-chefes-de-estado/" TargetMode="External"/><Relationship Id="rId30" Type="http://schemas.openxmlformats.org/officeDocument/2006/relationships/hyperlink" Target="https://www.telesurtv.net/donald-trump-arancel-paises-apoyen-brics/" TargetMode="External"/><Relationship Id="rId11" Type="http://schemas.openxmlformats.org/officeDocument/2006/relationships/hyperlink" Target="https://thetricontinental.org/wp-content/uploads/2024/01/ES_Hyperimperialism_RGB_240206.pdf" TargetMode="External"/><Relationship Id="rId10" Type="http://schemas.openxmlformats.org/officeDocument/2006/relationships/hyperlink" Target="https://leonardoboff.org/2011/06/23/%C2%BFcrisis-terminal-del-capitalismo/" TargetMode="External"/><Relationship Id="rId13" Type="http://schemas.openxmlformats.org/officeDocument/2006/relationships/hyperlink" Target="https://www.ocafezinho.com/2024/01/01/stedile-fala-sobre-a-crise-na-esquerda-e-no-capitalismo/" TargetMode="External"/><Relationship Id="rId12" Type="http://schemas.openxmlformats.org/officeDocument/2006/relationships/hyperlink" Target="https://elpais.com/internacional/2025-06-25/la-otan-aprueba-elevar-el-gasto-en-defensa-al-5-del-pib-el-mayor-aumento-de-su-historia.html" TargetMode="External"/><Relationship Id="rId15" Type="http://schemas.openxmlformats.org/officeDocument/2006/relationships/hyperlink" Target="https://nuso.org/articulo/302-interregno/" TargetMode="External"/><Relationship Id="rId14" Type="http://schemas.openxmlformats.org/officeDocument/2006/relationships/hyperlink" Target="https://www.revistaanfibia.com/las-big-tech-salen-del-closet/" TargetMode="External"/><Relationship Id="rId17" Type="http://schemas.openxmlformats.org/officeDocument/2006/relationships/hyperlink" Target="https://unctad.org/es/news/733-millones-de-personas-enfrentan-hambre-cronica-como-el-comercio-puede-ayudar" TargetMode="External"/><Relationship Id="rId16" Type="http://schemas.openxmlformats.org/officeDocument/2006/relationships/hyperlink" Target="https://www.oxfam.org/es/notas-prensa/la-riqueza-de-los-cinco-hombres-mas-ricos-se-ha-duplicado-mientras-que-casi-5-mil" TargetMode="External"/><Relationship Id="rId19" Type="http://schemas.openxmlformats.org/officeDocument/2006/relationships/hyperlink" Target="https://iccforum-com.translate.goog/africa?_x_tr_sl=en&amp;_x_tr_tl=es&amp;_x_tr_hl=es&amp;_x_tr_pto=tc" TargetMode="External"/><Relationship Id="rId18" Type="http://schemas.openxmlformats.org/officeDocument/2006/relationships/hyperlink" Target="https://www.cartacapital.com.br/politica/base-de-lula-vota-em-peso-para-derrubar-o-decreto-do-i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