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C5AC1" w:rsidRDefault="00B0584F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Titular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Asia Central batalla contra las consecuencias de la guerra de Rusia</w:t>
      </w:r>
    </w:p>
    <w:p w14:paraId="00000002" w14:textId="77777777" w:rsidR="005C5AC1" w:rsidRDefault="00B05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Vijay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Prashad</w:t>
      </w:r>
      <w:proofErr w:type="spellEnd"/>
    </w:p>
    <w:p w14:paraId="00000003" w14:textId="77777777" w:rsidR="005C5AC1" w:rsidRDefault="00B0584F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Biografía del autor: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 Este artículo fue producido para </w:t>
      </w:r>
      <w:hyperlink r:id="rId4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Globetrotter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Vijay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Prashad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es un historiador, editor y periodista indio. Es miembro de la redacción y corresponsal en jefe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Globetrotter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Es editor en jefe de </w:t>
      </w:r>
      <w:hyperlink r:id="rId5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LeftWord</w:t>
        </w:r>
        <w:proofErr w:type="spellEnd"/>
      </w:hyperlink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Boo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ks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y director del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Instituto Tricontinental de Investigación Social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También es miembro senior no-residente del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 xml:space="preserve">Instituto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Chongyang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 xml:space="preserve"> de Estudios Financieros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de la Universidad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Renmin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de China. Ha escrito más de 20 libros, entre ellos </w:t>
      </w:r>
      <w:hyperlink r:id="rId9"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The</w:t>
        </w:r>
        <w:proofErr w:type="spellEnd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Darker</w:t>
        </w:r>
        <w:proofErr w:type="spellEnd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Nations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y </w:t>
      </w:r>
      <w:hyperlink r:id="rId10"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The</w:t>
        </w:r>
        <w:proofErr w:type="spellEnd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Poorer</w:t>
        </w:r>
        <w:proofErr w:type="spellEnd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Nations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Su último libro es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 xml:space="preserve">Washington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Bullets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con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una introducción de Evo Morales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Ayma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004" w14:textId="77777777" w:rsidR="005C5AC1" w:rsidRDefault="00B05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Fuente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Globetrotter</w:t>
      </w:r>
      <w:proofErr w:type="spellEnd"/>
    </w:p>
    <w:p w14:paraId="00000005" w14:textId="77777777" w:rsidR="005C5AC1" w:rsidRDefault="00B05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Etiquetas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Guerra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Política, Economía, Comercio, Europa/Ucrania, Europa/Rusia, Medio Oriente/Turquía, Asia/Azerbaiyán, Europa/Eslovenia, Asia/Armenia, Europa/Bielorrusia, Asia/Kazajistán, Asia/Kirguistán, Asia/Tayikistán, Asia/Turkmenistán, Asia/Uzbekistán, Derechos humano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s, Asia/China, Asia/India, Medio Oriente/Irán, Medio Oriente/Afganistán, Norteamérica/Estados Unidos, Opinión, Coyuntural</w:t>
      </w:r>
    </w:p>
    <w:p w14:paraId="00000006" w14:textId="77777777" w:rsidR="005C5AC1" w:rsidRDefault="005C5A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07" w14:textId="77777777" w:rsidR="005C5AC1" w:rsidRDefault="00B0584F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[Cuerpo del artículo:]</w:t>
      </w:r>
    </w:p>
    <w:p w14:paraId="00000008" w14:textId="77777777" w:rsidR="005C5AC1" w:rsidRDefault="00B0584F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Durante el 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Foro Diplomático de Antalya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(Turquía), que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tuvo lugar del 11 al 13 de marzo de 2022, el ministro de Asuntos Exteriores de la República Kirguisa,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Ruslan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Kazakbaev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le </w:t>
      </w: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dijo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a Helga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Schmid, secretaria general de la Organización para la Seguridad y la Cooperación en Europa (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OSCE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), que su país estaría encantado de acoger las conversaciones entre </w:t>
      </w:r>
      <w:r>
        <w:rPr>
          <w:rFonts w:ascii="Times New Roman" w:eastAsia="Times New Roman" w:hAnsi="Times New Roman" w:cs="Times New Roman"/>
          <w:sz w:val="28"/>
          <w:szCs w:val="28"/>
        </w:rPr>
        <w:t>Rusia y Ucrania y servir de “mediador para el restablecimiento de la paz y el entendimiento mutuo” entre ambos países.</w:t>
      </w:r>
    </w:p>
    <w:p w14:paraId="00000009" w14:textId="77777777" w:rsidR="005C5AC1" w:rsidRDefault="00B0584F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En los márgenes del foro,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Kazakbaev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también se reunió con el ministro de Asuntos Exteriores de 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Azerbaiyán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Jeyhun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Bayramov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y con el secretario de Estado del Ministerio de Asuntos Exteriores de </w:t>
      </w:r>
      <w:hyperlink r:id="rId1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Eslovenia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Stanislav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sz w:val="28"/>
          <w:szCs w:val="28"/>
        </w:rPr>
        <w:t>ščan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y les dijo que la República Kirguisa deseaba que se terminara el conflicto ruso-ucraniano,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reiterando que su país estaba dispuesto a desempeñar un rol para lograr este resultado.</w:t>
      </w:r>
    </w:p>
    <w:p w14:paraId="0000000A" w14:textId="77777777" w:rsidR="005C5AC1" w:rsidRDefault="00B0584F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¿Por qué la República Kirguisa tiene tanto interés en involucrarse en 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guerra de Rusia en Ucrania? Porque este país centroasiático sin salida al mar, de más de 6,5 millones de habitantes, depende de sus vínculos económicos con Rusia a través de la </w:t>
      </w:r>
      <w:hyperlink r:id="rId1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Unión Económica Euroasiática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“una organización internacional para la </w:t>
      </w:r>
      <w:hyperlink r:id="rId1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integración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económica regional”, que incluye a Armenia, Bielorrusia, Kazajistán y la República Kirguisa. Cualquier sanción occidental a Rusia repercutirá directamente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en la República Kirguisa, donde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según cifras de 2019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hyperlink r:id="rId1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20%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de la población vive por debajo del umbral de pobreza nacional. El conflicto entre Rusia y Ucrania ya ha empezado a 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ner un impacto económico </w:t>
      </w:r>
      <w:hyperlink r:id="rId2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negativo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en las cinco repúblicas centroasiáticas de Kazajistán, la República Kirguisa, Tayikistán, Turkmenistán y Uzbekistán, que formaban </w:t>
      </w:r>
      <w:r>
        <w:rPr>
          <w:rFonts w:ascii="Times New Roman" w:eastAsia="Times New Roman" w:hAnsi="Times New Roman" w:cs="Times New Roman"/>
          <w:sz w:val="28"/>
          <w:szCs w:val="28"/>
        </w:rPr>
        <w:t>parte de la antigua Unión Soviética.</w:t>
      </w:r>
    </w:p>
    <w:p w14:paraId="0000000B" w14:textId="77777777" w:rsidR="005C5AC1" w:rsidRDefault="00B0584F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Petróleo, remesas y alimentos</w:t>
      </w:r>
    </w:p>
    <w:p w14:paraId="0000000C" w14:textId="77777777" w:rsidR="005C5AC1" w:rsidRDefault="00B0584F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Las sanciones a Rusia han provocado ondas de choque desde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Nur-Sultan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la capital de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Kazajistán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hasta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Ashgabat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la capital de Turkmenistán, ya que cada uno de los países de Asia Central luc</w:t>
      </w:r>
      <w:r>
        <w:rPr>
          <w:rFonts w:ascii="Times New Roman" w:eastAsia="Times New Roman" w:hAnsi="Times New Roman" w:cs="Times New Roman"/>
          <w:sz w:val="28"/>
          <w:szCs w:val="28"/>
        </w:rPr>
        <w:t>ha con las consecuencias de estas sanciones y el impacto que tendrán en sus economías.</w:t>
      </w:r>
    </w:p>
    <w:p w14:paraId="0000000D" w14:textId="77777777" w:rsidR="005C5AC1" w:rsidRDefault="00B0584F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Kazajistán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que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“exporta dos tercios de sus suministros de petróleo </w:t>
      </w:r>
      <w:hyperlink r:id="rId2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 través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de puertos rusos”, </w:t>
      </w:r>
      <w:hyperlink r:id="rId2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aumentó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apresuradamente su tipo de interés básico del 10,25% al 13,5% e intervino en los mercados de divisas para proteger el tenge, su moneda, que “se hundió junto al [rublo] ruso después de que Moscú lanzara ataques contra Ucr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ania”, según Reuters. A partir de entonces, los funcionarios kazajos mantuvieron </w:t>
      </w:r>
      <w:hyperlink r:id="rId2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conversaciones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con 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embajada de Estados Unidos en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Nur-Sultan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para minimizar el impacto que las sanciones occidentales impuestas a Rusia podrían tener en la economía de Kazajistán.</w:t>
      </w:r>
    </w:p>
    <w:p w14:paraId="0000000E" w14:textId="77777777" w:rsidR="005C5AC1" w:rsidRDefault="00B0584F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Mientras tanto, ninguna gran ciudad rusa puede funcionar sin migrantes estacionales, especialm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ente en el </w:t>
      </w:r>
      <w:hyperlink r:id="rId2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sector de la construcción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Según datos del Ministerio del Interior ruso, aproximadamente 5,2 millones de trabajadores migrantes </w:t>
      </w:r>
      <w:hyperlink r:id="rId2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entraron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a este país entre enero y septiembre de 2021, procedentes de los países centroasiáticos Tayikistán, Uzbekistán y la República Kirguisa. Muchos de estos 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migrantes envían el dinero que ganan como remesas a sus países de origen.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Esto supone un porcentaje importante del Producto Interno Bruto (PIB) de los Estados de Asia Central, como la </w:t>
      </w:r>
      <w:hyperlink r:id="rId2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República Kirguisa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donde estas remesas representaron el 31% del PIB en 2020, y </w:t>
      </w:r>
      <w:hyperlink r:id="rId2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Tayikistán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donde estas remesas supusieron el 27% del PIB del país 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urante el mismo año. A medida que el rublo siga cayendo frente al dólar, que Rusia imponga </w:t>
      </w:r>
      <w:hyperlink r:id="rId2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controles centralizados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a las transfer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encias de divisas y que se produzca un endurecimiento económico dentro del país, la migración y las remesas se irán agotando lentamente en Asia Central. El tenge de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Kazajistán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y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Uzbekistán ya están luchando por mantener su valor. Las continuas sa</w:t>
      </w:r>
      <w:r>
        <w:rPr>
          <w:rFonts w:ascii="Times New Roman" w:eastAsia="Times New Roman" w:hAnsi="Times New Roman" w:cs="Times New Roman"/>
          <w:sz w:val="28"/>
          <w:szCs w:val="28"/>
        </w:rPr>
        <w:t>nciones occidentales contra Rusia van a tener un grave impacto a largo plazo para las repúblicas de Asia Central.</w:t>
      </w:r>
    </w:p>
    <w:p w14:paraId="0000000F" w14:textId="77777777" w:rsidR="005C5AC1" w:rsidRDefault="00B0584F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Además de la crisis del petróleo y de las remesas a la que se enfrentan los países de Asia Central, Rusia también </w:t>
      </w:r>
      <w:hyperlink r:id="rId3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anunció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recientemente que dejará de suministrar grano y azúcar a Kazajistán y a la República Kirguisa. En tiempos normales estas repúblicas dependen de las importaciones de grano y azúcar, pero con la </w:t>
      </w:r>
      <w:hyperlink r:id="rId3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sequía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del cinturón central en 2021, estas importaciones se han convertido en algo fundamental para la supervivencia de sus habitantes. Por ahora, los Gobiernos de la región </w:t>
      </w:r>
      <w:hyperlink r:id="rId3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dicen tener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suficientes reservas de grano y azúcar, pero la “prohibición temporal” de estos artículos por parte de Rusia se convertirá en un problema si la situación se prolonga </w:t>
      </w:r>
      <w:r>
        <w:rPr>
          <w:rFonts w:ascii="Times New Roman" w:eastAsia="Times New Roman" w:hAnsi="Times New Roman" w:cs="Times New Roman"/>
          <w:sz w:val="28"/>
          <w:szCs w:val="28"/>
        </w:rPr>
        <w:t>hasta el verano.</w:t>
      </w:r>
    </w:p>
    <w:p w14:paraId="00000010" w14:textId="77777777" w:rsidR="005C5AC1" w:rsidRDefault="00B0584F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Es importante señalar aquí que las personas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rusoparlantes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conforman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sectores significativos de la población de cada una de las 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epúblicas de la antigua URSS y que también representan una gran parte de la población de muchos de los países de Europa del Este. A medida que prosperan las actitudes nacionalistas en Rusia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algo contra lo que Vladimir Lenin </w:t>
      </w:r>
      <w:hyperlink r:id="rId3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se pronunció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en 1914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se teme que se produzca una desestabilización similar entre los países fronterizos, especialmente considerando que, en alguno casos, los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rusoparlantes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son mayoría (como en Bielorrus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ia, donde el </w:t>
      </w:r>
      <w:hyperlink r:id="rId3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70%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de la población habla ruso) y, en otros caso, representa una minoría sustancial (como en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Kazajistán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donde el </w:t>
      </w:r>
      <w:hyperlink r:id="rId3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20%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de la población habla ruso). No ayudó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que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en diciembre de 2020,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Vyacheslav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Nikonov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del partido Rusia Unida, (del 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residente ruso Vladimir Putin), </w:t>
      </w:r>
      <w:hyperlink r:id="rId3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dijera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en el programa de la televisión rusa “El Gran Juego” que “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Kazajistán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simplemente no existía”. Esta declaración irritó al Gobierno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Nur-Sultan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que exigió retractarse.</w:t>
      </w:r>
    </w:p>
    <w:p w14:paraId="00000011" w14:textId="77777777" w:rsidR="005C5AC1" w:rsidRDefault="00B0584F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Por ahora, las relaciones entre Rusia y muchos de estos Estados han sido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fraternales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en gran medida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–; </w:t>
      </w:r>
      <w:r>
        <w:rPr>
          <w:rFonts w:ascii="Times New Roman" w:eastAsia="Times New Roman" w:hAnsi="Times New Roman" w:cs="Times New Roman"/>
          <w:sz w:val="28"/>
          <w:szCs w:val="28"/>
        </w:rPr>
        <w:t>con Rusia proporcionando seguridad cuando es neces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ario, especialmente a través de la </w:t>
      </w:r>
      <w:hyperlink r:id="rId3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Organización del Tratado de Seguridad Colectiva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(OTSC)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una alianza militar formada por Rusia, Bielorrusia, Kazajistán, Kirguistán, Armenia y Tayikistán) producto de un </w:t>
      </w:r>
      <w:hyperlink r:id="rId3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tratado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firmado en 1992 por estos Estados postsoviéticos. Fue a través de la OTSC que las fuerzas rusas </w:t>
      </w:r>
      <w:hyperlink r:id="rId4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intervinieron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en Kazajistán en enero de 2022 y ayudaron al Gobierno a poner fin a un movimiento de protestas en su contra, y, después de que Estados Unidos se retirara de Afganistán en agosto de 2021, las fuerzas de la OTSC acordaron “</w:t>
      </w:r>
      <w:hyperlink r:id="rId4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reforzar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” las fronteras compartidas de Afganistán con los Estados de Asia Central que son miembros de la organización. Como parte de la OTSC, Bielorrusia podría apoyar y </w:t>
      </w:r>
      <w:hyperlink r:id="rId4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unirse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a Rusia en la guerra de Ucrania. Hasta ahora, ningún otro Estado miembro de la OTSC se ha unido a esta guerra.</w:t>
      </w:r>
    </w:p>
    <w:p w14:paraId="00000012" w14:textId="77777777" w:rsidR="005C5AC1" w:rsidRDefault="00B0584F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La conexión china</w:t>
      </w:r>
    </w:p>
    <w:p w14:paraId="00000013" w14:textId="77777777" w:rsidR="005C5AC1" w:rsidRDefault="00B0584F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En toda Asia Central, los Gobiernos se esfuerzan por aprovechar la inestabilida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 resultante de la guerra. Kirguistán, por ejemplo, </w:t>
      </w:r>
      <w:hyperlink r:id="rId4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creó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apresuradamente un Comité Anticrisis. El 25 de febrero, 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 presidente ruso, Vladimir Putin, </w:t>
      </w:r>
      <w:hyperlink r:id="rId4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llamó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al presidente uzbeko,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Shavkat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Mirziyoyev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para discutir sobre la guerra y la crisis producida por las sanciones occidentales. Ese mismo día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Mikhail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Mishustin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el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primer ministro ruso, visitó al presidente kazajo,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Kassym-Jomart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Tokayev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para </w:t>
      </w:r>
      <w:hyperlink r:id="rId4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hablar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sobre de la disminución del comercio entre los dos países y de lo que probablemente significará. A Rusia le preocupan las </w:t>
      </w:r>
      <w:r>
        <w:rPr>
          <w:rFonts w:ascii="Times New Roman" w:eastAsia="Times New Roman" w:hAnsi="Times New Roman" w:cs="Times New Roman"/>
          <w:sz w:val="28"/>
          <w:szCs w:val="28"/>
        </w:rPr>
        <w:t>repercusiones de la guerra de Ucrania en los países de Asia Central, en gran medida, porque no tiene soluciones para los problemas a los que se enfrentarán.</w:t>
      </w:r>
    </w:p>
    <w:p w14:paraId="00000014" w14:textId="77777777" w:rsidR="005C5AC1" w:rsidRDefault="00B0584F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China, por otro lado, está bien posicionada para desempeñar un papel clave en Asia Central en los 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róximos años. China ya ha creado una serie de acuerdos institucionales que serán importantes para reforzar esta relación en la región. Entre estos, resaltan la </w:t>
      </w:r>
      <w:hyperlink r:id="rId4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Organización de Cooperación de </w:t>
        </w:r>
      </w:hyperlink>
      <w:hyperlink r:id="rId4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Shanghái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y la </w:t>
      </w:r>
      <w:hyperlink r:id="rId4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Iniciativa de la Franja y la Ruta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(BRI). El 25 de enero tuvo lugar la reunión “</w:t>
      </w:r>
      <w:hyperlink r:id="rId4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China más Asia Centr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”, celebrada virtualmente entre el presidente de China, Xi Jinping, y los jefes de Estado de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Kazajistán</w:t>
      </w:r>
      <w:r>
        <w:rPr>
          <w:rFonts w:ascii="Times New Roman" w:eastAsia="Times New Roman" w:hAnsi="Times New Roman" w:cs="Times New Roman"/>
          <w:sz w:val="28"/>
          <w:szCs w:val="28"/>
        </w:rPr>
        <w:t>, Turkmenistán, Uzbekistán, Kirguistán y Tayikistán, para conmemorar los crecientes lazos entre China y estos países en los últimos 30 años, desde el 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olapso de la URSS. En este periodo, el comercio entre China y Asia Central </w:t>
      </w:r>
      <w:hyperlink r:id="rId5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aumentó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en un 100%, y los mayores volúmenes correspondieron a la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compra de energía por parte de China a las repúblicas postsoviéticas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Pero esta conversación virtual, que tuvo lugar antes de la intervención rusa en Ucrania, se extendió más allá del comercio a lo largo de la </w:t>
      </w:r>
      <w:hyperlink r:id="rId5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Ruta de la Seda de la Salud de China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(creada en 2016) y de la crea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ción de un centro de comercio regional en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Urumqi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la capital de la región autónoma uigur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Xinjiang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Durante el punto álgido de la pandemia, la inversión china en Asia Central se ralentizó; ahora existe la expectativa en la región de que no sólo vuelva a </w:t>
      </w:r>
      <w:r>
        <w:rPr>
          <w:rFonts w:ascii="Times New Roman" w:eastAsia="Times New Roman" w:hAnsi="Times New Roman" w:cs="Times New Roman"/>
          <w:sz w:val="28"/>
          <w:szCs w:val="28"/>
        </w:rPr>
        <w:t>los niveles previos a la pandemia, sino que también compense las pérdidas al norte de las fronteras.</w:t>
      </w:r>
    </w:p>
    <w:p w14:paraId="00000015" w14:textId="77777777" w:rsidR="005C5AC1" w:rsidRDefault="00B0584F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Asia Central tiene otras opciones, sobre todo para aumentar el comercio con India, Irán y Turquía. En enero de 2022, India celebró la primera </w:t>
      </w:r>
      <w:hyperlink r:id="rId5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cumbre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virtual bienal con las cinco repúblicas centroasiáticas, y hay expectativas de que estos lazos se profundicen con el tiempo. Sin embargo, India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a diferencia de 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ina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no comparte frontera terrestre con ninguno de estos Estados, y su </w:t>
      </w:r>
      <w:hyperlink r:id="rId5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volumen de negocios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(2.000 millones de dólares) 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mucho menor </w:t>
      </w:r>
      <w:hyperlink r:id="rId5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que el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de China con Asia Central (9,2 billones de dólares entre 2013 y 2020). Las relaciones comerciales de Irán y </w:t>
      </w:r>
      <w:r>
        <w:rPr>
          <w:rFonts w:ascii="Times New Roman" w:eastAsia="Times New Roman" w:hAnsi="Times New Roman" w:cs="Times New Roman"/>
          <w:sz w:val="28"/>
          <w:szCs w:val="28"/>
        </w:rPr>
        <w:t>Turquía con Asia Central son significativas, pero también mínimas, y las relaciones comerciales importantes para estos países ya se han integrado en el proyecto BRI de China.</w:t>
      </w:r>
    </w:p>
    <w:p w14:paraId="00000016" w14:textId="77777777" w:rsidR="005C5AC1" w:rsidRDefault="00B0584F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Las economías de las repúblicas centroasiáticas están fundamentalmente integradas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en la de Rusia. China puede proporcionar cierto apoyo a la inversión, pero no puede suplantar tan fácilmente a las centenarias instituciones rusas que han desempeñado un importante papel económico en Asia Central. Las repúblicas centroasiáticas se encontr</w:t>
      </w:r>
      <w:r>
        <w:rPr>
          <w:rFonts w:ascii="Times New Roman" w:eastAsia="Times New Roman" w:hAnsi="Times New Roman" w:cs="Times New Roman"/>
          <w:sz w:val="28"/>
          <w:szCs w:val="28"/>
        </w:rPr>
        <w:t>arán en apuros a medida que se endurezcan las sanciones contra Rusia, pero obtendrán cierto alivio de la BRI y de sus socios regionales (incluidos Irán y Turquía)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017" w14:textId="77777777" w:rsidR="005C5AC1" w:rsidRDefault="00B0584F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No es de extrañar que el ministro de Asuntos Exteriores de Kirguistán,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Kazakbaev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pidiera con entusiasmo la mediación en Ucrania. Su país quiere que este conflicto termine y que se retiren las duras sanciones. De lo contrario, aumentará la angustia económi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ca en una región que sigue plagada de inestabilidad como consecuencia de los 20 años de ocupación estadounidense de Afganistán, y las dificultades económicas podrían dar lugar a un malestar político que podría incendiar todo el borde de Asia Central.</w:t>
      </w:r>
    </w:p>
    <w:sectPr w:rsidR="005C5AC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AC1"/>
    <w:rsid w:val="00494155"/>
    <w:rsid w:val="005C5AC1"/>
    <w:rsid w:val="00B0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0B4356-21E6-4F83-AE63-4F7794FC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kipress.com/news:668888:Kyrgyzstan_ready_to_provide_forum_for_Russian-Ukrainian_talks_and_serve_as_mediator_-_FM_Kazakbaev/?place=main1" TargetMode="External"/><Relationship Id="rId18" Type="http://schemas.openxmlformats.org/officeDocument/2006/relationships/hyperlink" Target="https://tinyurl.com/yc5mumaf" TargetMode="External"/><Relationship Id="rId26" Type="http://schemas.openxmlformats.org/officeDocument/2006/relationships/hyperlink" Target="https://asiatimes.com/2022/03/how-russias-war-will-destabilize-central-asia/" TargetMode="External"/><Relationship Id="rId39" Type="http://schemas.openxmlformats.org/officeDocument/2006/relationships/hyperlink" Target="https://www.economist.com/the-economist-explains/2022/01/06/what-is-the-collective-security-treaty-organisation" TargetMode="External"/><Relationship Id="rId21" Type="http://schemas.openxmlformats.org/officeDocument/2006/relationships/hyperlink" Target="https://time.com/6156524/russia-ukraine-central-asia-impact/" TargetMode="External"/><Relationship Id="rId34" Type="http://schemas.openxmlformats.org/officeDocument/2006/relationships/hyperlink" Target="https://www.marxists.org/archive/lenin/works/1914/dec/12a.htm" TargetMode="External"/><Relationship Id="rId42" Type="http://schemas.openxmlformats.org/officeDocument/2006/relationships/hyperlink" Target="https://www.npr.org/2022/03/12/1086274120/ukraine-latest" TargetMode="External"/><Relationship Id="rId47" Type="http://schemas.openxmlformats.org/officeDocument/2006/relationships/hyperlink" Target="https://tinyurl.com/5heywenm" TargetMode="External"/><Relationship Id="rId50" Type="http://schemas.openxmlformats.org/officeDocument/2006/relationships/hyperlink" Target="https://tinyurl.com/2eyz4e28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thetricontinental.org/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fa.gov.kg/en/Main-menu/Press-service/novosti/-622e10c27fc57" TargetMode="External"/><Relationship Id="rId29" Type="http://schemas.openxmlformats.org/officeDocument/2006/relationships/hyperlink" Target="https://www.reuters.com/markets/europe/russian-central-bank-scrambles-contain-fallout-sanctions-2022-02-28/" TargetMode="External"/><Relationship Id="rId11" Type="http://schemas.openxmlformats.org/officeDocument/2006/relationships/hyperlink" Target="https://mayday.leftword.com/catalog/product/view/id/21820" TargetMode="External"/><Relationship Id="rId24" Type="http://schemas.openxmlformats.org/officeDocument/2006/relationships/hyperlink" Target="https://www.timesca.com/index.php/news/24627-kazakhstan-us-hold-consultations-on-the-impact-of-anti-russian-sanctions-on-kazakh-economy" TargetMode="External"/><Relationship Id="rId32" Type="http://schemas.openxmlformats.org/officeDocument/2006/relationships/hyperlink" Target="https://www.gov.kz/memleket/entities/moa/press/news/details/339512?lang=ru" TargetMode="External"/><Relationship Id="rId37" Type="http://schemas.openxmlformats.org/officeDocument/2006/relationships/hyperlink" Target="https://www.ng.kz/modules/news/article.php?storyid=40689" TargetMode="External"/><Relationship Id="rId40" Type="http://schemas.openxmlformats.org/officeDocument/2006/relationships/hyperlink" Target="https://tass.com/world/1384411" TargetMode="External"/><Relationship Id="rId45" Type="http://schemas.openxmlformats.org/officeDocument/2006/relationships/hyperlink" Target="https://tinyurl.com/5aj9tmm7" TargetMode="External"/><Relationship Id="rId53" Type="http://schemas.openxmlformats.org/officeDocument/2006/relationships/hyperlink" Target="https://www.india-briefing.com/news/indias-trade-prospects-with-turkmenistan-uzbekistan-and-azerbaijan-22680.html/" TargetMode="External"/><Relationship Id="rId5" Type="http://schemas.openxmlformats.org/officeDocument/2006/relationships/hyperlink" Target="https://mayday.leftword.com/" TargetMode="External"/><Relationship Id="rId10" Type="http://schemas.openxmlformats.org/officeDocument/2006/relationships/hyperlink" Target="https://smile.amazon.com/Poorer-Nations-Possible-History-Global/dp/1781681589/?tag=alternorg08-20" TargetMode="External"/><Relationship Id="rId19" Type="http://schemas.openxmlformats.org/officeDocument/2006/relationships/hyperlink" Target="https://www.adb.org/countries/kyrgyz-republic/poverty" TargetMode="External"/><Relationship Id="rId31" Type="http://schemas.openxmlformats.org/officeDocument/2006/relationships/hyperlink" Target="https://www.rferl.org/a/central-asian-drought-water-shortages/31324012.html" TargetMode="External"/><Relationship Id="rId44" Type="http://schemas.openxmlformats.org/officeDocument/2006/relationships/hyperlink" Target="https://tass.com/politics/1411263" TargetMode="External"/><Relationship Id="rId52" Type="http://schemas.openxmlformats.org/officeDocument/2006/relationships/hyperlink" Target="https://www.rferl.org/a/majlis-podcast-india-summit-central-asia/31678304.html" TargetMode="External"/><Relationship Id="rId4" Type="http://schemas.openxmlformats.org/officeDocument/2006/relationships/hyperlink" Target="https://globetrotter.media/" TargetMode="External"/><Relationship Id="rId9" Type="http://schemas.openxmlformats.org/officeDocument/2006/relationships/hyperlink" Target="https://smile.amazon.com/Darker-Nations-Peoples-History-Third/dp/1595583424/?tag=alternorg08-20" TargetMode="External"/><Relationship Id="rId14" Type="http://schemas.openxmlformats.org/officeDocument/2006/relationships/hyperlink" Target="https://www.osce.org/" TargetMode="External"/><Relationship Id="rId22" Type="http://schemas.openxmlformats.org/officeDocument/2006/relationships/hyperlink" Target="https://www.reuters.com/business/energy/exclusive-kazakh-oil-flows-caught-russian-export-problems-traders-say-2022-03-01/" TargetMode="External"/><Relationship Id="rId27" Type="http://schemas.openxmlformats.org/officeDocument/2006/relationships/hyperlink" Target="https://data.worldbank.org/indicator/BX.TRF.PWKR.DT.GD.ZS?locations=KG" TargetMode="External"/><Relationship Id="rId30" Type="http://schemas.openxmlformats.org/officeDocument/2006/relationships/hyperlink" Target="https://tass.ru/ekonomika/14030973" TargetMode="External"/><Relationship Id="rId35" Type="http://schemas.openxmlformats.org/officeDocument/2006/relationships/hyperlink" Target="https://warontherocks.com/2019/04/from-belarus-with-love-the-limits-of-lukashenkos-dalliance-with-the-west/" TargetMode="External"/><Relationship Id="rId43" Type="http://schemas.openxmlformats.org/officeDocument/2006/relationships/hyperlink" Target="https://akipress.com/news:668911:Cabinet_sets_up_Anti-Crisis_Committee_to_respond_to_external_shocks_affecting_Kyrgyzstan/" TargetMode="External"/><Relationship Id="rId48" Type="http://schemas.openxmlformats.org/officeDocument/2006/relationships/hyperlink" Target="https://eng.yidaiyilu.gov.cn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tinyurl.com/y2hdjcpo" TargetMode="External"/><Relationship Id="rId51" Type="http://schemas.openxmlformats.org/officeDocument/2006/relationships/hyperlink" Target="https://tinyurl.com/2p8hkbb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ntalyadf.org/en/adf-english/" TargetMode="External"/><Relationship Id="rId17" Type="http://schemas.openxmlformats.org/officeDocument/2006/relationships/hyperlink" Target="https://tinyurl.com/2p8wvak4" TargetMode="External"/><Relationship Id="rId25" Type="http://schemas.openxmlformats.org/officeDocument/2006/relationships/hyperlink" Target="https://lenta.ru/news/2021/07/25/migrants/" TargetMode="External"/><Relationship Id="rId33" Type="http://schemas.openxmlformats.org/officeDocument/2006/relationships/hyperlink" Target="https://www.rferl.org/a/russia-ethnic-russification-baltics-kazakhstan-soviet/25328281.html" TargetMode="External"/><Relationship Id="rId38" Type="http://schemas.openxmlformats.org/officeDocument/2006/relationships/hyperlink" Target="https://odkb-csto.org/" TargetMode="External"/><Relationship Id="rId46" Type="http://schemas.openxmlformats.org/officeDocument/2006/relationships/hyperlink" Target="https://tinyurl.com/5heywenm" TargetMode="External"/><Relationship Id="rId20" Type="http://schemas.openxmlformats.org/officeDocument/2006/relationships/hyperlink" Target="https://www.rferl.org/a/central-asia-migrants-ruble-impact/31730968.html" TargetMode="External"/><Relationship Id="rId41" Type="http://schemas.openxmlformats.org/officeDocument/2006/relationships/hyperlink" Target="https://tass.com/politics/1337993" TargetMode="External"/><Relationship Id="rId54" Type="http://schemas.openxmlformats.org/officeDocument/2006/relationships/hyperlink" Target="https://www.china-briefing.com/news/china-and-central-asia-bilateral-trade-relationships-and-future-outlook/" TargetMode="External"/><Relationship Id="rId1" Type="http://schemas.openxmlformats.org/officeDocument/2006/relationships/styles" Target="styles.xml"/><Relationship Id="rId6" Type="http://schemas.openxmlformats.org/officeDocument/2006/relationships/hyperlink" Target="https://mayday.leftword.com/" TargetMode="External"/><Relationship Id="rId15" Type="http://schemas.openxmlformats.org/officeDocument/2006/relationships/hyperlink" Target="https://mfa.gov.kg/en/Main-menu/Press-service/novosti/-622c1096972e8" TargetMode="External"/><Relationship Id="rId23" Type="http://schemas.openxmlformats.org/officeDocument/2006/relationships/hyperlink" Target="https://www.reuters.com/world/asia-pacific/kazakhstan-central-bank-hikes-policy-rate-amid-ukraine-crisis-2022-02-24/" TargetMode="External"/><Relationship Id="rId28" Type="http://schemas.openxmlformats.org/officeDocument/2006/relationships/hyperlink" Target="https://data.worldbank.org/indicator/BX.TRF.PWKR.DT.GD.ZS?locations=TJ" TargetMode="External"/><Relationship Id="rId36" Type="http://schemas.openxmlformats.org/officeDocument/2006/relationships/hyperlink" Target="https://www.indepthnews.net/index.php/the-world/central-asia/4995-kazakhstan-might-turn-out-to-be-russia-s-next-ukraine" TargetMode="External"/><Relationship Id="rId49" Type="http://schemas.openxmlformats.org/officeDocument/2006/relationships/hyperlink" Target="https://tinyurl.com/2p9bpzr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2369</Words>
  <Characters>13507</Characters>
  <Application>Microsoft Office Word</Application>
  <DocSecurity>0</DocSecurity>
  <Lines>112</Lines>
  <Paragraphs>31</Paragraphs>
  <ScaleCrop>false</ScaleCrop>
  <Company/>
  <LinksUpToDate>false</LinksUpToDate>
  <CharactersWithSpaces>15845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Ruhi Bhasin</dc:creator>
  <cp:lastModifiedBy>Ruhi Bhasin</cp:lastModifiedBy>
  <cp:revision>2</cp:revision>
  <dcterms:created xsi:type="dcterms:W3CDTF">2022-03-21T19:48:00Z</dcterms:created>
  <dcterms:modified xsi:type="dcterms:W3CDTF">2022-03-21T19:48:00Z</dcterms:modified>
</cp:coreProperties>
</file>