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lítio do chile beneficia os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multimilionários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mas esgota a terra e os povos</w:t>
      </w:r>
    </w:p>
    <w:p w14:paraId="00000002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Sumário: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 Chile adotou um modelo de extração do lítio que aprofunda sua dependência e esgota seus recursos. Nacionalização foi discutida na convenção constitucional, mas não avançou.</w:t>
      </w:r>
    </w:p>
    <w:p w14:paraId="00000003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Taroa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Zúñiga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Silva</w:t>
      </w:r>
    </w:p>
    <w:p w14:paraId="00000004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Biografias dos autores: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Este artig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o foi pr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oduzido por </w:t>
      </w:r>
      <w:hyperlink r:id="rId5"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05" w14:textId="77777777" w:rsidR="00D30336" w:rsidRPr="008A552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um historiador, editor e jornalista indiano. Ele é um escritor parceir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e correspondente-chefe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É editor-chefe da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Books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Tricontinental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Pesquisa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Ele é membro sênior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não-residente do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Chongyang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de Estudos Financeiros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Universidade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Renmin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da China. Autor de mais de 20 livros, incluindo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11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Seus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últimos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livros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são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2"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Struggle Makes Us Human: Learning from Movements for Socialism</w:t>
        </w:r>
      </w:hyperlink>
      <w:r w:rsidRPr="008A552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 (com Noam Chomsky) </w:t>
      </w:r>
      <w:hyperlink r:id="rId13"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The Withdrawal: Iraq, Libya, Afghanistan, and the Fragility of U.S. Power</w:t>
        </w:r>
      </w:hyperlink>
      <w:r w:rsidRPr="008A552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.</w:t>
      </w:r>
    </w:p>
    <w:p w14:paraId="00000006" w14:textId="77777777" w:rsidR="00D30336" w:rsidRDefault="009D3968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 w:rsidRPr="008A5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Taroa</w:t>
      </w:r>
      <w:proofErr w:type="spellEnd"/>
      <w:r w:rsidRPr="008A5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8A5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Zúñiga</w:t>
      </w:r>
      <w:proofErr w:type="spellEnd"/>
      <w:r w:rsidRPr="008A55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Silva</w:t>
      </w:r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é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coeditora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junto com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Giordana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García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Sojo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do </w:t>
      </w:r>
      <w:proofErr w:type="spellStart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>livro</w:t>
      </w:r>
      <w:proofErr w:type="spellEnd"/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4"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 xml:space="preserve">Venezuela, </w:t>
        </w:r>
        <w:proofErr w:type="spellStart"/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Vórtice</w:t>
        </w:r>
        <w:proofErr w:type="spellEnd"/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 xml:space="preserve"> de la Guerra del </w:t>
        </w:r>
        <w:proofErr w:type="spellStart"/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Siglo</w:t>
        </w:r>
        <w:proofErr w:type="spellEnd"/>
        <w:r w:rsidRPr="008A5526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 xml:space="preserve"> XXI</w:t>
        </w:r>
      </w:hyperlink>
      <w:r w:rsidRPr="008A5526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(2020).</w:t>
      </w:r>
      <w:r w:rsidRPr="008A55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É integrante da Secretaria de Mulheres Imigrantes do Chile. Também é parte da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Mecha Cooperativa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um projeto do </w:t>
      </w:r>
      <w:hyperlink r:id="rId16">
        <w:r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Exército Comunicacional de Liberação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D30336" w:rsidRDefault="009D3968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8" w14:textId="77777777" w:rsidR="00D30336" w:rsidRDefault="009D3968">
      <w:pPr>
        <w:widowControl w:val="0"/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Economia, Comércio, América do Sul/Chile, Justiça social, Meio ambiente, Tecnologia, Lei, Direitos humanos, Trabalho, Ciência, Povos indígen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as, Entrevista, Eleições presidenciais, Política, História, América do Sul/Argentina, Oceania/Austrália, Ativismo, Opinião</w:t>
      </w:r>
    </w:p>
    <w:p w14:paraId="00000009" w14:textId="77777777" w:rsidR="00D30336" w:rsidRDefault="00D30336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A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B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Atacama, localizado no norte do Chile e com uma extensão de mais de 1200 quilômetros quadrados, é a ma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ior fonte de lítio do mundo. Estamos diante de um penhasco, olhando para o grande poço, no extremo sul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protegido da vista do público. É ali que as grandes empresas chilenas se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instalaram para extrair o lítio e exportá-lo – em grande parte sem pro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cessá-lo – ao mercado mundial. “Sabe quem era sogro do rei do lítio no Chile?”, nos pergunta Loreto, responsável por nos guiar até esse mirante para contemplar as brancas areias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Sua resposta não nos surpreende muito: se trata nada mais nada menos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 falecido ditador militar Augusto Pinochet, que governou o Chile de 1973 a 1990. Com “rei do lítio” ele se refere a </w:t>
      </w:r>
      <w:hyperlink r:id="rId1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Julio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Ponce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Lerou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o maior acionista da empresa mineira de lítio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Sociedad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Química y Minera de Chile (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SQM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e genro do ditador.</w:t>
      </w:r>
    </w:p>
    <w:p w14:paraId="0000000C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SQM e a </w:t>
      </w:r>
      <w:hyperlink r:id="rId19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bemarle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as duas principais mineradoras chilenas, dominam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Atacama. É impossível conseguir uma permissão para visitar o extremo sul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onde estabeleceram suas operações. As empresas extraem o lítio bombeando salmoura no subsolo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deixando-a evaporar durante meses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antes de levar adiante o processo de extração. “A SQM rouba nossa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água para extrair o lítio”,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declarou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2018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ex-presidenta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Conselho de Povos Indígenas do Atacama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Ana Ramos, segundo 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Deutsche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Welle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O concentrado que resta após a evaporação é convertido em carbonato de lítio e hidróxido de lítio, que logo são exportados, formando as mat</w:t>
      </w:r>
      <w:r>
        <w:rPr>
          <w:rFonts w:ascii="Times New Roman" w:eastAsia="Times New Roman" w:hAnsi="Times New Roman" w:cs="Times New Roman"/>
          <w:sz w:val="28"/>
          <w:szCs w:val="28"/>
        </w:rPr>
        <w:t>érias primas chave na produção de baterias de íon de lítio. Aproximadamente um terço do lítio mundial procede do Chile. Segundo o banco Goldman Sachs, “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 lítio é a nova gasolina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14:paraId="0000000D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que faz a 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ecessidade</w:t>
      </w:r>
    </w:p>
    <w:p w14:paraId="0000000E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propriedade do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disputada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entre o Estado, os povos originários deste território e as empresas privada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s. Mas, como nos disse um membro da comunidade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Lickanantay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uma das comunidades indígenas que reconhecem 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Atacama como sua morada –, a maioria dos proprietários da terra já não vivem na região. Juan, que se dedica à criação de cavalos e descende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uma família dedicada ao pastoreio, nos conta que as pessoas de lá agora “vivem das rendas da terra. Não lhes importa o que ocorrer aqui”. No entanto, Juan sabe que essas rendas são minúsculas. “O que nos pagam para explorar nossas terras é praticamente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uma gorjeta”, diz ele. “Não é nada comparado com o que ganham. Mas, ainda assim, é muito dinheiro”. Para a maioria dos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Lickanantay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diz Juan, “o lítio não é um tema porque, embora se saiba que ele é danoso ao meio ambiente, nos está trazendo dinheiro”, di</w:t>
      </w:r>
      <w:r>
        <w:rPr>
          <w:rFonts w:ascii="Times New Roman" w:eastAsia="Times New Roman" w:hAnsi="Times New Roman" w:cs="Times New Roman"/>
          <w:sz w:val="28"/>
          <w:szCs w:val="28"/>
        </w:rPr>
        <w:t>z. “A necessidade leva o povo a fazer muitas coisas”.</w:t>
      </w:r>
    </w:p>
    <w:p w14:paraId="0000000F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Os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impactos ambientais negativos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extração do lítio foram amplamente estudados pela comunidade científica e observados pelos guias tur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ísticos da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zona.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Angelo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um desses guias, nos conta que lhe preocupa que as reservas de água sejam contaminadas devido às atividades mineradoras e que teme o impacto que isso tem sobre a fauna do deserto do Atacama, incluindo os flamingos. “De vez em quand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encontramos um flamingo rosado morto”, nos diz. Cristina Inés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Dorador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doutora em ciências naturais que participou da redação do novo projeto de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Constituição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 Chile,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publicou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diversos trabalhos sobre o declínio da população de flamingos no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No entanto,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Dorador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também 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poderiam ser utilizadas novas tecnologias para evitar o impacto ambiental negativo generalizado. Ingrid Garcés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Millas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doutora em Ciências da Terra pela Universidade de Zaragoza e pesquisadora da Universidade de Antofagasta,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destacou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um artigo para 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Le Monde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Diplomatique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o atual uso da extração do lítio provocou a deterioração das “formas de vida dos povos andinos”. Um exemplo que mencionou foi que, enquanto a indústria do lítio utiliza o abastecimento de água subterrânea, as “comunidades se abast</w:t>
      </w:r>
      <w:r>
        <w:rPr>
          <w:rFonts w:ascii="Times New Roman" w:eastAsia="Times New Roman" w:hAnsi="Times New Roman" w:cs="Times New Roman"/>
          <w:sz w:val="28"/>
          <w:szCs w:val="28"/>
        </w:rPr>
        <w:t>ecem com caminhões-cisterna”.</w:t>
      </w:r>
    </w:p>
    <w:p w14:paraId="00000010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Segundo um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MiningWatch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Canadá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do Atlas de Justiça Ambiental, “para produzir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 tonelada de lítio nos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salares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Atacama são evaporadas 2 mil toneladas de água, o que provoca um dano importante tanto na disponibilidade da água como na qualidade das reservas subterrâneas de água doce”.</w:t>
      </w:r>
    </w:p>
    <w:p w14:paraId="00000011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Enquanto isso, na região do Atacama não parece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existir um senso de urgência quanto ao debate sobre a extração do lítio. A maior parte do povo parece ter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aceito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que a extração do lítio chegou para ficar. Entre as e os ativistas há discrepâncias sobre como abordar o tema. Os mais radicais creem que o lít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io não deve ser extraído, enquanto outros debatem quem deve beneficiar-se da riqueza gerada por sua extração. Há ainda outros, como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Angelo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Loreto, que creem que a vontade do Chile de exportar o lítio sem processamento nega ao país a possibilidade de expl</w:t>
      </w:r>
      <w:r>
        <w:rPr>
          <w:rFonts w:ascii="Times New Roman" w:eastAsia="Times New Roman" w:hAnsi="Times New Roman" w:cs="Times New Roman"/>
          <w:sz w:val="28"/>
          <w:szCs w:val="28"/>
        </w:rPr>
        <w:t>orar os benefícios que poderia significar o processamento do metal dentro do país.</w:t>
      </w:r>
    </w:p>
    <w:p w14:paraId="00000012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Bens comuns naturais</w:t>
      </w:r>
    </w:p>
    <w:p w14:paraId="00000013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Justamente antes das eleições presidenciais do Chile, em novembro de 2021, entrevistamos Giorgio Jackson, agora um dos assessores mais próximos do presi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dente do Chile, Gabriel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Boric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Ele nos 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o novo governo chileno estudaria a possibilidade de nacionalizar recursos chave, como o cobre e o lítio.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Isso já não parece estar na agenda do governo, apesar da expectativa de que os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altos preços do cobre e do lítio possam financiar as tão necessárias reformas no sistema de pensões e na modernização da infraestrutura do país.</w:t>
      </w:r>
    </w:p>
    <w:p w14:paraId="00000014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ideia de nacionalização foi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iscutida na convenção constitucional, mas, ao final, não foi incluída no projeto da constituição,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que será votado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no dia 4 de sete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mbro. Em seu lugar, a proposta de constituição se baseia no artigo 19 da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Constituição de 1980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que estabelece o “direito a viver em um meio ambiente li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vre de contaminação”. Com a aprovação da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nova Constituição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ficará estabelecida, no artigo 134, a existência de bens comuns naturais, sobre os q</w:t>
      </w:r>
      <w:r>
        <w:rPr>
          <w:rFonts w:ascii="Times New Roman" w:eastAsia="Times New Roman" w:hAnsi="Times New Roman" w:cs="Times New Roman"/>
          <w:sz w:val="28"/>
          <w:szCs w:val="28"/>
        </w:rPr>
        <w:t>uais o Estado “tem um dever especial de custódia, com o fim de assegurar os direitos da natureza e o interesse das gerações presentes e futuras”.</w:t>
      </w:r>
    </w:p>
    <w:p w14:paraId="00000015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Nos últimos dias do governo do ex-presidente Sebastián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Piñera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o Ministério de Mineração do Chile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premiou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duas empresas – a BYD Chile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Operaciones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Mineras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Norte S.A. – com o direito à extração de 80 mil toneladas de lítio (cada uma) durante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prazo de 20 anos. A Corte de Apelações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Copiapó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atendeu a um pedido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 governador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Copiapó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Miguel Vargas, e de várias comunidades indígenas. Em janeiro de 2022, o tribunal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suspendeu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acordo; </w:t>
      </w:r>
      <w:hyperlink r:id="rId3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decisão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foi confirmada em junho pela Corte Suprema do país. Isso não implica que o Chile vá dar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marcha-ré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 exploração do lítio por parte das grandes empresas, mas sugere que um novo interesse contra a ampla exploração dos recursos naturais está se desenvolv</w:t>
      </w:r>
      <w:r>
        <w:rPr>
          <w:rFonts w:ascii="Times New Roman" w:eastAsia="Times New Roman" w:hAnsi="Times New Roman" w:cs="Times New Roman"/>
          <w:sz w:val="28"/>
          <w:szCs w:val="28"/>
        </w:rPr>
        <w:t>endo no país.</w:t>
      </w:r>
    </w:p>
    <w:p w14:paraId="00000016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Até 2016, o Chile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produzia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37% da cota do mercado mundial de lítio, o que o tornava o maior produtor mundial deste metal. Quando o governo do Chile aume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ntou as taxas de royalties para as mineradoras, várias delas reduziram sua produção e algumas aumentaram sua participação na Argentina (a SQM, por exemplo,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ingressou em uma empre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sa mista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conjunta com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Lithium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Americas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Corporation para trabalhar em um projeto na Argentina). O Chile atualmente está </w:t>
      </w:r>
      <w:hyperlink r:id="rId41" w:anchor="xj4y7vzkg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atrás da Austrália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termos de produção de lítio no mercado mundial, </w:t>
      </w:r>
      <w:hyperlink r:id="rId4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caindo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37% a 29% entre 2016 e 2019 (com a perspectiva de que sua participação </w:t>
      </w:r>
      <w:r>
        <w:rPr>
          <w:rFonts w:ascii="Times New Roman" w:eastAsia="Times New Roman" w:hAnsi="Times New Roman" w:cs="Times New Roman"/>
          <w:sz w:val="28"/>
          <w:szCs w:val="28"/>
        </w:rPr>
        <w:t>cairá ainda mais, até chegar a 17% em 2030).</w:t>
      </w:r>
    </w:p>
    <w:p w14:paraId="00000017" w14:textId="77777777" w:rsidR="00D30336" w:rsidRDefault="009D3968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observação de Juan sobre “a necessidade levar o povo a fazer muitas coisas” descreve bem o estado de ânimo entre os moradores do Atacama. As necessidades das pessoas que habitam esta região parecem estar atrás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das necessidades das grandes empresas. Os familiares dos antigos ditadores acumulam riquezas às custas da terra,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enquanto que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as e os proprietários dela – por necessidade – a vendem em troca de gorjetas.</w:t>
      </w:r>
    </w:p>
    <w:sectPr w:rsidR="00D303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36"/>
    <w:rsid w:val="008A5526"/>
    <w:rsid w:val="009D3968"/>
    <w:rsid w:val="00D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6B8E8-191F-4B45-8307-658D1AD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newpress.com/books/withdrawal" TargetMode="External"/><Relationship Id="rId18" Type="http://schemas.openxmlformats.org/officeDocument/2006/relationships/hyperlink" Target="https://www.sqmlithium.com/en/" TargetMode="External"/><Relationship Id="rId26" Type="http://schemas.openxmlformats.org/officeDocument/2006/relationships/hyperlink" Target="https://peoplesdispatch.org/2022/04/01/labor-and-workers-rights-are-at-the-heart-of-chiles-new-constitutional-convention/" TargetMode="External"/><Relationship Id="rId39" Type="http://schemas.openxmlformats.org/officeDocument/2006/relationships/hyperlink" Target="https://www.cochilco.cl/Presentaciones/PPT%20Litio%20agosto%202020.pdf" TargetMode="External"/><Relationship Id="rId21" Type="http://schemas.openxmlformats.org/officeDocument/2006/relationships/hyperlink" Target="https://www.dw.com/es/extracci%C3%B3n-de-litio-en-chile-bendici%C3%B3n-o-maldici%C3%B3n/a-43569558" TargetMode="External"/><Relationship Id="rId34" Type="http://schemas.openxmlformats.org/officeDocument/2006/relationships/hyperlink" Target="https://www.chileconvencion.cl/wp-content/uploads/2022/07/Texto-Definitivo-CPR-2022-Tapas.pdf" TargetMode="External"/><Relationship Id="rId42" Type="http://schemas.openxmlformats.org/officeDocument/2006/relationships/hyperlink" Target="https://www.cochilco.cl/Presentaciones/PPT%20Litio%20agosto%202020.pdf" TargetMode="External"/><Relationship Id="rId7" Type="http://schemas.openxmlformats.org/officeDocument/2006/relationships/hyperlink" Target="https://mayday.leftwo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hance.net/ecl2021" TargetMode="External"/><Relationship Id="rId20" Type="http://schemas.openxmlformats.org/officeDocument/2006/relationships/hyperlink" Target="https://fortune.com/2022/05/23/chile-has-become-the-worlds-case-study-for-reconciling-economic-opportunity-with-climate-change-concerns/" TargetMode="External"/><Relationship Id="rId29" Type="http://schemas.openxmlformats.org/officeDocument/2006/relationships/hyperlink" Target="https://www.lemondediplomatique.cl/mas-alla-de-licitar-el-litio-por-ingrid-garces-millas.html" TargetMode="External"/><Relationship Id="rId41" Type="http://schemas.openxmlformats.org/officeDocument/2006/relationships/hyperlink" Target="https://www.bloomberg.com/news/articles/2022-01-04/rising-lithium-tensions-in-chile-show-scope-of-clean-energy-ta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smile.amazon.com/Poorer-Nations-Possible-History-Global/dp/1781681589/?tag=alternorg08-20" TargetMode="External"/><Relationship Id="rId24" Type="http://schemas.openxmlformats.org/officeDocument/2006/relationships/hyperlink" Target="https://interferencia.cl/articulos/convencionales-ante-comunidades-lickanantay-como-la-nueva-constitucion-resolvera" TargetMode="External"/><Relationship Id="rId32" Type="http://schemas.openxmlformats.org/officeDocument/2006/relationships/hyperlink" Target="https://www.reuters.com/world/americas/chile-finalizes-proposed-constitution-final-vote-sept-4-2022-07-04/" TargetMode="External"/><Relationship Id="rId37" Type="http://schemas.openxmlformats.org/officeDocument/2006/relationships/hyperlink" Target="https://techxplore.com/news/2022-01-chile-court-multi-million-dollar-lithium.html" TargetMode="External"/><Relationship Id="rId40" Type="http://schemas.openxmlformats.org/officeDocument/2006/relationships/hyperlink" Target="https://www.greencarcongress.com/2016/03/20160330-sqm.html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mecha.pro/" TargetMode="External"/><Relationship Id="rId23" Type="http://schemas.openxmlformats.org/officeDocument/2006/relationships/hyperlink" Target="https://www.youtube.com/watch?v=gkMN8CN9OBY" TargetMode="External"/><Relationship Id="rId28" Type="http://schemas.openxmlformats.org/officeDocument/2006/relationships/hyperlink" Target="https://www.bloomberg.com/news/features/2022-06-23/lithium-king-crowned-in-dictatorship-sees-3-5-billion-fortune-at-risk" TargetMode="External"/><Relationship Id="rId36" Type="http://schemas.openxmlformats.org/officeDocument/2006/relationships/hyperlink" Target="https://www.diarioconstitucional.cl/2022/01/14/corte-de-apelaciones-de-copiapo-dicta-orden-de-no-innovar-y-suspende-proceso-de-licitacion-nacional-e-internacional-para-la-exploracion-y-explotacion-de-yacimientos-de-litio/" TargetMode="External"/><Relationship Id="rId10" Type="http://schemas.openxmlformats.org/officeDocument/2006/relationships/hyperlink" Target="https://smile.amazon.com/Darker-Nations-Peoples-History-Third/dp/1595583424/?tag=alternorg08-20" TargetMode="External"/><Relationship Id="rId19" Type="http://schemas.openxmlformats.org/officeDocument/2006/relationships/hyperlink" Target="https://www.albemarle.com/businesses/lithium" TargetMode="External"/><Relationship Id="rId31" Type="http://schemas.openxmlformats.org/officeDocument/2006/relationships/hyperlink" Target="https://peoplesdispatch.org/2021/10/21/chile-is-at-the-dawn-of-a-new-political-era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2hdjcpo" TargetMode="External"/><Relationship Id="rId14" Type="http://schemas.openxmlformats.org/officeDocument/2006/relationships/hyperlink" Target="https://editorialelcolectivo.com/producto/venezuela-vortice-de-la-guerra-del-siglo-xxi/" TargetMode="External"/><Relationship Id="rId22" Type="http://schemas.openxmlformats.org/officeDocument/2006/relationships/hyperlink" Target="https://bit.ly/3cJdboh" TargetMode="External"/><Relationship Id="rId27" Type="http://schemas.openxmlformats.org/officeDocument/2006/relationships/hyperlink" Target="https://royalsocietypublishing.org/doi/10.1098/rspb.2021.2388" TargetMode="External"/><Relationship Id="rId30" Type="http://schemas.openxmlformats.org/officeDocument/2006/relationships/hyperlink" Target="https://miningwatch.ca/sites/default/files/en_backgrounder_mapping_the_mining_impacts_of_the_energy_transition.pdf" TargetMode="External"/><Relationship Id="rId35" Type="http://schemas.openxmlformats.org/officeDocument/2006/relationships/hyperlink" Target="https://techxplore.com/news/2022-01-chile-court-multi-million-dollar-lithium.html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thetricontinental.org/pt-p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haymarketbooks.org/books/1869-struggle-makes-us-human" TargetMode="External"/><Relationship Id="rId17" Type="http://schemas.openxmlformats.org/officeDocument/2006/relationships/hyperlink" Target="https://www.bloomberg.com/news/features/2022-06-23/lithium-king-crowned-in-dictatorship-sees-3-5-billion-fortune-at-risk" TargetMode="External"/><Relationship Id="rId25" Type="http://schemas.openxmlformats.org/officeDocument/2006/relationships/hyperlink" Target="https://www.mdpi.com/2071-1050/13/20/11274/htm" TargetMode="External"/><Relationship Id="rId33" Type="http://schemas.openxmlformats.org/officeDocument/2006/relationships/hyperlink" Target="https://obtienearchivo.bcn.cl/obtienearchivo?id=documentos/10221.1/60446/3/132632.pdf" TargetMode="External"/><Relationship Id="rId38" Type="http://schemas.openxmlformats.org/officeDocument/2006/relationships/hyperlink" Target="https://www.elmostrador.cl/cultura/2022/06/01/corte-suprema-falla-en-favor-de-comunidades-indigenas-y-deja-sin-efecto-bases-de-licitacion-del-litio-en-atac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1xj5vZPZ2G8r+dl3abX5ZsIfUg==">AMUW2mXtkSCtxIjmbMswtxtvba0FGgpwHv7BmrzoDblFVkfL0jaJZds8Gi37spfuskFJhsjjX0v23Bd/KF5ALZjFVyVHcZi/ES31jwQtXC9yAUcjeFQKTkE8HePVROHUbbs2eJzcovoZY2YkZOyk1/1KTEsmCrmttPjD1SPiwmfMgwL0ghDsIlsWvnEf1TRJ4KQV8/MF3wlg8trbxhdiwoR6C6KOAquruw7x/OSORqwsTzk/MZqbvON77UXlPgmwK7MHsqax3Pw5AfCXrfVkwI9y/y3FRbioM463bONV6cf0ff49+7MeqKojCwlQ7DBsFHrSOU89TcF7r5pkF8Y3vab4SReXxKvUr0RfewseI1AszFXw6DEO5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2022-08-24T19:07:00Z</dcterms:created>
  <dcterms:modified xsi:type="dcterms:W3CDTF">2022-08-24T19:07:00Z</dcterms:modified>
</cp:coreProperties>
</file>