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530B4" w:rsidRDefault="000C097F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Manchete: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 desconcertante votação que rejeitou uma nova Constituição no Chile</w:t>
      </w:r>
    </w:p>
    <w:p w14:paraId="00000002" w14:textId="77777777" w:rsidR="008530B4" w:rsidRDefault="000C097F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Por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Taroa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Zúñiga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Silva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Vijay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Prashad</w:t>
      </w:r>
      <w:proofErr w:type="spellEnd"/>
    </w:p>
    <w:p w14:paraId="00000003" w14:textId="77777777" w:rsidR="008530B4" w:rsidRDefault="000C097F">
      <w:pPr>
        <w:spacing w:before="200" w:after="20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Biografia dos autores: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Este artigo foi produzido por </w:t>
      </w:r>
      <w:hyperlink r:id="rId5">
        <w:proofErr w:type="spellStart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Globetrotter</w:t>
        </w:r>
        <w:proofErr w:type="spellEnd"/>
      </w:hyperlink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e traduzido por Pedro Marin para a </w:t>
      </w:r>
      <w:hyperlink r:id="rId6"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Revista Opera</w:t>
        </w:r>
      </w:hyperlink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04" w14:textId="77777777" w:rsidR="008530B4" w:rsidRDefault="000C097F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Taroa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Zúñiga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Silva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é uma escritora associada e coordenadora de mídia em espanhol da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Globetrotter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 El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a é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co-editora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com Giordana García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Sojo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do livro </w:t>
      </w:r>
      <w:hyperlink r:id="rId7"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</w:rPr>
          <w:t xml:space="preserve">Venezuela, </w:t>
        </w:r>
        <w:proofErr w:type="spellStart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</w:rPr>
          <w:t>Vortex</w:t>
        </w:r>
        <w:proofErr w:type="spellEnd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</w:rPr>
          <w:t>of</w:t>
        </w:r>
        <w:proofErr w:type="spellEnd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</w:rPr>
          <w:t>the</w:t>
        </w:r>
        <w:proofErr w:type="spellEnd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</w:rPr>
          <w:t xml:space="preserve"> 21st </w:t>
        </w:r>
        <w:proofErr w:type="spellStart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</w:rPr>
          <w:t>Century</w:t>
        </w:r>
        <w:proofErr w:type="spellEnd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</w:rPr>
          <w:t xml:space="preserve"> War (2020)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Ela faz parte do comitê de coordenação da </w:t>
      </w:r>
      <w:hyperlink r:id="rId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Argos: Observatório Internacional de Migração e Direitos Humanos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Ela também faz parte da </w:t>
      </w:r>
      <w:hyperlink r:id="rId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Mecha Cooperativa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um projeto do </w:t>
      </w:r>
      <w:hyperlink r:id="rId10"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Ejército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 xml:space="preserve"> Comunicacional de Liberación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05" w14:textId="77777777" w:rsidR="008530B4" w:rsidRPr="005B6097" w:rsidRDefault="000C097F">
      <w:pPr>
        <w:spacing w:before="200" w:after="200"/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Vijay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Prashad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é um historiador, editor e jornalista indiano. Ele é um escritor parceiro e correspondente-chefe do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Globetrotter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É editor-chefe da </w:t>
      </w:r>
      <w:hyperlink r:id="rId11"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LeftWord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Books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e diretor do </w:t>
      </w:r>
      <w:hyperlink r:id="rId1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Instituto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Tricontinental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de Pesquisa Social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Ele é membro sênior não-residente do </w:t>
      </w:r>
      <w:hyperlink r:id="rId1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Instituto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Chongy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ang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de Estudos Financeiros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da Universidade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Renmin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da China. Autor de mais de 20 livros, incluindo </w:t>
      </w:r>
      <w:hyperlink r:id="rId14"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 xml:space="preserve">The </w:t>
        </w:r>
        <w:proofErr w:type="spellStart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Darker</w:t>
        </w:r>
        <w:proofErr w:type="spellEnd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Nations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e </w:t>
      </w:r>
      <w:hyperlink r:id="rId15"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 xml:space="preserve">The </w:t>
        </w:r>
        <w:proofErr w:type="spellStart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Poorer</w:t>
        </w:r>
        <w:proofErr w:type="spellEnd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Nations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B60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Seus últimos livros são </w:t>
      </w:r>
      <w:hyperlink r:id="rId16">
        <w:r w:rsidRPr="005B6097"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  <w:lang w:val="en-US"/>
          </w:rPr>
          <w:t>Struggle Makes Us Human: Learnin</w:t>
        </w:r>
        <w:r w:rsidRPr="005B6097"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  <w:lang w:val="en-US"/>
          </w:rPr>
          <w:t>g from Movements for Socialis</w:t>
        </w:r>
        <w:proofErr w:type="spellStart"/>
        <w:r w:rsidRPr="005B6097"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  <w:lang w:val="en-US"/>
          </w:rPr>
          <w:t>m</w:t>
        </w:r>
      </w:hyperlink>
      <w:r w:rsidRPr="005B6097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 e</w:t>
      </w:r>
      <w:proofErr w:type="spellEnd"/>
      <w:r w:rsidRPr="005B6097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 (com Noam Chomsky) </w:t>
      </w:r>
      <w:hyperlink r:id="rId17">
        <w:r w:rsidRPr="005B6097"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  <w:lang w:val="en-US"/>
          </w:rPr>
          <w:t>The Withdrawal: Iraq, Libya, Afghanistan, and the Fragility of U.S. Power</w:t>
        </w:r>
      </w:hyperlink>
      <w:r w:rsidRPr="005B6097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.</w:t>
      </w:r>
    </w:p>
    <w:p w14:paraId="00000006" w14:textId="77777777" w:rsidR="008530B4" w:rsidRDefault="000C097F">
      <w:pPr>
        <w:widowControl w:val="0"/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Fonte: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Globetrotter</w:t>
      </w:r>
      <w:proofErr w:type="spellEnd"/>
    </w:p>
    <w:p w14:paraId="00000007" w14:textId="77777777" w:rsidR="008530B4" w:rsidRDefault="000C097F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Rótulos: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América do Sul/Chile, Política,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Lei</w:t>
      </w:r>
      <w:r>
        <w:rPr>
          <w:rFonts w:ascii="Times New Roman" w:eastAsia="Times New Roman" w:hAnsi="Times New Roman" w:cs="Times New Roman"/>
          <w:sz w:val="28"/>
          <w:szCs w:val="28"/>
        </w:rPr>
        <w:t>, Ativismo, Trabalho, Justiça social, Direitos humanos, Eleições presidenciais, História, Economia, Entrevista, Relig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ião/Espiritualidade, América do Sul, América do Sul/Brasil, Opinião,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Curto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prazo</w:t>
      </w:r>
    </w:p>
    <w:p w14:paraId="00000008" w14:textId="77777777" w:rsidR="008530B4" w:rsidRDefault="008530B4">
      <w:pPr>
        <w:spacing w:before="200" w:after="2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9" w14:textId="77777777" w:rsidR="008530B4" w:rsidRDefault="000C097F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[Corpo do artigo:]</w:t>
      </w:r>
    </w:p>
    <w:p w14:paraId="0000000A" w14:textId="77777777" w:rsidR="008530B4" w:rsidRDefault="000C097F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No dia 4 de setembro de 2022, </w:t>
      </w:r>
      <w:hyperlink r:id="rId1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mais de 13 milhões de pessoas que vivem 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no Chile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além dos chilenos e chilenas que vivem no exterior (de um total aproximado de 15 milhões de pessoas com direito a voto, incluindo migrantes) se pronunciaram sobre a proposta de uma nova Constituição para o país. Já em março, </w:t>
      </w:r>
      <w:hyperlink r:id="rId1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as pesquisas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começavam a sinalizar que a Constituição poderia não ser aprovada. No entanto, as sondagens por meses </w:t>
      </w:r>
      <w:hyperlink r:id="rId2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insinuavam uma redução de 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lastRenderedPageBreak/>
          <w:t>vantagem ao grupo do Rechaço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e um aumento do Aprovo, razão pela qual os defensores da nova Constituição seguiam confiando que sua campanha conseguiria convencer as grandes maiori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as a descartar a Constituição de 1980, imposta ao país pela ditadura militar dirigida pelo general Augusto Pinochet. A data definida para essas eleições, o 4 de setembro, </w:t>
      </w:r>
      <w:hyperlink r:id="rId2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coincidia com a vitória de Salvador Allende nas eleições de 1970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 Neste dia, aqueles que apoiavam o projeto de uma nova Constituição diziam que o fantasma de Pinochet, que derrubou Allende por meio de um golpe de Estado em 1973, seria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exorcizado. E, no entanto, a Constituição de Pinochet segue vigente, com a </w:t>
      </w:r>
      <w:hyperlink r:id="rId22" w:anchor="/votacion/elecciones_constitucion/global/1900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rejeição de mais de 61%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dos e das votantes à nova Constituição e somente 38%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 aprovando.</w:t>
      </w:r>
    </w:p>
    <w:p w14:paraId="0000000B" w14:textId="77777777" w:rsidR="008530B4" w:rsidRDefault="000C097F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Alguns dias antes da eleição, na comuna de Recoleta, em Santiago, o prefeito Daniel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Jadue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encabeçou uma imensa manifestação em apoio à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opção Aprovo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Milhares de pessoas se reuniram nesta região majoritariamente trabalhadora com a esperança, 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omo disse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Jadue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de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deixar para trás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 “Constituição dos abusos”. Mas isso não ocorreu. Inclusive em Recoleta, onde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Jadue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é um prefeito bastante popular, a Constituição foi derrotada. A nova Constituição teve 23 mil votos a mais do que os recebidos por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Jad</w:t>
      </w:r>
      <w:r>
        <w:rPr>
          <w:rFonts w:ascii="Times New Roman" w:eastAsia="Times New Roman" w:hAnsi="Times New Roman" w:cs="Times New Roman"/>
          <w:sz w:val="28"/>
          <w:szCs w:val="28"/>
        </w:rPr>
        <w:t>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nas últimas eleições – um sinal de que o voto de esquerda havia aumentado – mas ainda assim o voto pelo rechaço à Constituição foi maior, o que significou que os novos e novas votantes tiveram um maior impacto no resultado geral.</w:t>
      </w:r>
    </w:p>
    <w:p w14:paraId="0000000C" w14:textId="77777777" w:rsidR="008530B4" w:rsidRDefault="000C097F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No dia 7 de setembro,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sz w:val="28"/>
          <w:szCs w:val="28"/>
        </w:rPr>
        <w:t>adue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nos disse que se sentia “tranquilo”, que era um avanço significativo o fato de </w:t>
      </w:r>
      <w:hyperlink r:id="rId23" w:anchor="/votacion/elecciones_constitucion/global/1900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quase 5 milhões de pessoas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terem votado pela mudança constitucional e que “pela primeira vez temos em nossas mãos um projeto constitucional que está escrito e que pode transformar-se em um programa político bastante concreto”. Não há “nem vitória definitiva nem derrota definitiva”,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nos disse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Jadue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O povo não só refletiu no voto sua opinião sobre a Constituição, como também sobre a situação econômica (a </w:t>
      </w:r>
      <w:hyperlink r:id="rId2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inflação no Chile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superou 14,1% neste mês) e a gestão do govern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 frente este cenário. Assim como no </w:t>
      </w:r>
      <w:hyperlink r:id="rId2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plebiscito de 2020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para redigir uma nova Constituição o voto de castigo teve um papel contra o ex-presidente Sebast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ián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Piñera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neste processo houve um voto de castigo ao governo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Boric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por sua incapacidade de melhorar as condições materiais do povo. A “tranquilidade”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Jadue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provém de sua confiança de que, se a esquerda conseguir se reconectar com a base social atravé</w:t>
      </w:r>
      <w:r>
        <w:rPr>
          <w:rFonts w:ascii="Times New Roman" w:eastAsia="Times New Roman" w:hAnsi="Times New Roman" w:cs="Times New Roman"/>
          <w:sz w:val="28"/>
          <w:szCs w:val="28"/>
        </w:rPr>
        <w:t>s de um programa de ação capaz de abordar as necessidades do povo, então estes cinco milhões que votaram a favor da Constituição verão seus números aumentarem significativamente.</w:t>
      </w:r>
    </w:p>
    <w:p w14:paraId="0000000D" w14:textId="77777777" w:rsidR="008530B4" w:rsidRDefault="000C097F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Poucas horas após a divulgação do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resultado final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da votação, os analistas de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todos os setores se puseram a analisar o que constituiu uma grande derrota para o governo. Francisca Fernández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Droguett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membro do Movimento por Água e Territórios, </w:t>
      </w:r>
      <w:hyperlink r:id="rId2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escreveu num artigo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para o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Ciudadano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que a explicação da derrota estava na decisão do governo de fazer uma eleição obrigatória. “O voto obrigatório nos colocou frente um setor da sociedade que desconhecíamos em term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os de tendências, não só políticas, como também de valores”. Este setor foi precisamente aquele que determinou os resultados em Recoleta.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Droguett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destacou que havia um sentimento generalizado entre a classe política de que aqueles que historicamente não v</w:t>
      </w:r>
      <w:r>
        <w:rPr>
          <w:rFonts w:ascii="Times New Roman" w:eastAsia="Times New Roman" w:hAnsi="Times New Roman" w:cs="Times New Roman"/>
          <w:sz w:val="28"/>
          <w:szCs w:val="28"/>
        </w:rPr>
        <w:t>otavam tinham uma “radicalidade na sua leitura sobre a institucionalidade”, o que os aproximaria de certas formas de progressismo. Ficou demonstrado que não é bem assim. A campanha pelo Aprovo não priorizou temáticas econômicas e trabalhistas, que são fund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amentais para as pessoas que vivem nos extremos mais duros da desigualdade social. De fato, nas reações midiáticas frente aos resultados – que consistiram em </w:t>
      </w:r>
      <w:hyperlink r:id="rId2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destacar e estigmatizar os setores empobrecidos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rotear</w:t>
      </w:r>
      <w:r>
        <w:rPr>
          <w:rFonts w:ascii="Times New Roman" w:eastAsia="Times New Roman" w:hAnsi="Times New Roman" w:cs="Times New Roman"/>
          <w:sz w:val="28"/>
          <w:szCs w:val="28"/>
        </w:rPr>
        <w:t>, como se diz no Chile), atribuindo a eles a responsabilidade da derrota – se vê a política de mentalidade estreita que também esteve em evidênc</w:t>
      </w:r>
      <w:r>
        <w:rPr>
          <w:rFonts w:ascii="Times New Roman" w:eastAsia="Times New Roman" w:hAnsi="Times New Roman" w:cs="Times New Roman"/>
          <w:sz w:val="28"/>
          <w:szCs w:val="28"/>
        </w:rPr>
        <w:t>ia durante a campanha pelo Aprovo.</w:t>
      </w:r>
    </w:p>
    <w:p w14:paraId="0000000E" w14:textId="77777777" w:rsidR="008530B4" w:rsidRDefault="000C097F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 ponto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Droguett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sobre o voto obrigatório é </w:t>
      </w:r>
      <w:hyperlink r:id="rId2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compartilhado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por todo o espectro político. Até 2012, o voto no Chile era obrigatório, mas a inscrição no recenseamento eleitoral era voluntária; depois, em 2012, </w:t>
      </w:r>
      <w:hyperlink r:id="rId2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com a aprovação de uma reforma da lei eleitoral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a inscrição se tornou automática, mas o voto passou a ser voluntário. Para uma eleição tão importante, o governo </w:t>
      </w:r>
      <w:hyperlink r:id="rId3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decidiu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tornar todo o processo de votação obrigatório para todos os maiores de 18 anos que estivessem habilitados a votar, com a imposição de multas consideráveis para aqueles que não o fi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zessem. O resultado foi que 85,81% das pessoas inscritas no recenseamento votaram, o que supera em muito os </w:t>
      </w:r>
      <w:hyperlink r:id="rId3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55,65%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que votaram no que foi o segundo recorde de participação eleitor</w:t>
      </w:r>
      <w:r>
        <w:rPr>
          <w:rFonts w:ascii="Times New Roman" w:eastAsia="Times New Roman" w:hAnsi="Times New Roman" w:cs="Times New Roman"/>
          <w:sz w:val="28"/>
          <w:szCs w:val="28"/>
        </w:rPr>
        <w:t>al no Chile, durante as eleições presidenciais de 2021.</w:t>
      </w:r>
    </w:p>
    <w:p w14:paraId="0000000F" w14:textId="77777777" w:rsidR="008530B4" w:rsidRDefault="000C097F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Uma comparação entre o segundo turno da eleição presidencial de 2021 e a recente votação do plebiscito é bastante instrutiva. Em dezembro de 2021, o presidente do Chile, Gabriel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Boric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liderando a coa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lizão de esquerda e centro-esquerda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Apruebo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Dignidad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3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obteve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4,6 milhões de votos. A mesma coalizão fez campanha a favor da Constituição, e teve 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milhões de votos. Ou seja, o voto da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Apruebo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Dignidad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em dezembro de 2021 e o voto a favor da nova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Constituição foram praticamente iguais. O oponente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Boric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José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Antonio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que </w:t>
      </w:r>
      <w:hyperlink r:id="rId3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abertamente elogiou Pinochet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obteve </w:t>
      </w:r>
      <w:hyperlink r:id="rId3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3,65 milhões de votos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também fez campanha contra a nova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Constituição, que foi derrotada por 7,88 milhões dos eleitores. Ou seja, os votos contra a Constituição foram duas vezes maiores que os votos com os quais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pôde contar em 2021. Esta cifra não pode ser interpretada, de acordo com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Jadue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como uma virada </w:t>
      </w:r>
      <w:r>
        <w:rPr>
          <w:rFonts w:ascii="Times New Roman" w:eastAsia="Times New Roman" w:hAnsi="Times New Roman" w:cs="Times New Roman"/>
          <w:sz w:val="28"/>
          <w:szCs w:val="28"/>
        </w:rPr>
        <w:t>à direita por parte do povo do Chile, mas sim como uma rejeição a todo o sistema político, incluindo a Convenção Constitucional.</w:t>
      </w:r>
    </w:p>
    <w:p w14:paraId="00000010" w14:textId="77777777" w:rsidR="008530B4" w:rsidRDefault="000C097F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Um dos elementos menos comentados da vida política no Chile – como em outras partes da América Latina – é o </w:t>
      </w:r>
      <w:hyperlink r:id="rId3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rápido crescimento das igrejas evangélicas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(sobretud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 pentecostais). Cerca de 20% da população chilena </w:t>
      </w:r>
      <w:hyperlink r:id="rId3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se identifica como evangélica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Em 2021,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participou do culto de ação de graças da igreja evangélica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sendo o único político convidado para o evento. Obrigados a ir às urnas pelo novo sistema de voto obrigatório, um amplo setor dos eleitores evangé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licos rechaçou a proposta de uma nova Constituição pela agenda social-liberal que trazia.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Jadue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nos disse que a comunidade evangélica não analisou o fato de que a nova Constituição dava à igreja evangélica – pela primeira vez na história – “a igualdade de </w:t>
      </w:r>
      <w:r>
        <w:rPr>
          <w:rFonts w:ascii="Times New Roman" w:eastAsia="Times New Roman" w:hAnsi="Times New Roman" w:cs="Times New Roman"/>
          <w:sz w:val="28"/>
          <w:szCs w:val="28"/>
        </w:rPr>
        <w:t>tratamento frente à igreja apostólica romana, porque assegurava a liberdade de culto e igualdade de tratamento”.</w:t>
      </w:r>
    </w:p>
    <w:p w14:paraId="00000011" w14:textId="77777777" w:rsidR="008530B4" w:rsidRDefault="000C097F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Os que não estavam a favor da nova Constituição começaram a fazer campanha logo depois que se instalou a Convenção Constitucional. Aqueles que </w:t>
      </w:r>
      <w:r>
        <w:rPr>
          <w:rFonts w:ascii="Times New Roman" w:eastAsia="Times New Roman" w:hAnsi="Times New Roman" w:cs="Times New Roman"/>
          <w:sz w:val="28"/>
          <w:szCs w:val="28"/>
        </w:rPr>
        <w:t>favoreciam a nova Constituição, no entanto, esperaram até que o texto estivesse pronto, e não concentraram a campanha nos mesmos territórios nos quais as igrejas evangélicas têm influência e onde a oposição à Constituição era clara. A Constituição foi reje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itada como expressão do crescimento do descontentamento dos e das chilenas frente a direção geral do liberalismo social que muitos – </w:t>
      </w:r>
      <w:hyperlink r:id="rId3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inclusive a direção 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do </w:t>
        </w:r>
      </w:hyperlink>
      <w:hyperlink r:id="rId39"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Frente Amplio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– assumiam como uma progressão inevitável da política do país. O distanciamento entre os evangélicos e a centro-esquerda é evidente não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só no Chile, onde os resultados estão visíveis, </w:t>
      </w:r>
      <w:hyperlink r:id="rId4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mas também no Brasil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que enfrenta eleições presidenciais importantíssimas em ou</w:t>
      </w:r>
      <w:r>
        <w:rPr>
          <w:rFonts w:ascii="Times New Roman" w:eastAsia="Times New Roman" w:hAnsi="Times New Roman" w:cs="Times New Roman"/>
          <w:sz w:val="28"/>
          <w:szCs w:val="28"/>
        </w:rPr>
        <w:t>tubro.</w:t>
      </w:r>
    </w:p>
    <w:p w14:paraId="00000012" w14:textId="77777777" w:rsidR="008530B4" w:rsidRDefault="000C097F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Enquanto isso, dois dias depois das eleições, os estudantes secundários saíam às ruas. A faixa que levavam à frente de sua primeira marcha estava cheia de poesia: “Frente um povo sem memória, estudantes fazendo história: com luta e organização”. Tod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 este ciclo da nova Constituição e do governo de centro-esquerda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Boric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começou em 2011-2013, quando o agora presidente e muitos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dos membros de seu gabinete </w:t>
      </w:r>
      <w:hyperlink r:id="rId4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estavam na universidade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e começavam suas carreiras políticas. Os estudantes secundaristas – que enfrentaram uma brutal repressão policial e agora confrontam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Boric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querem abrir um novo caminho. Estão consternados por uma eleição que podia determina</w:t>
      </w:r>
      <w:r>
        <w:rPr>
          <w:rFonts w:ascii="Times New Roman" w:eastAsia="Times New Roman" w:hAnsi="Times New Roman" w:cs="Times New Roman"/>
          <w:sz w:val="28"/>
          <w:szCs w:val="28"/>
        </w:rPr>
        <w:t>r seu futuro e na qual, por sua idade, não puderam participar.</w:t>
      </w:r>
    </w:p>
    <w:sectPr w:rsidR="008530B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B4"/>
    <w:rsid w:val="000C097F"/>
    <w:rsid w:val="005B6097"/>
    <w:rsid w:val="0085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270B3C-58DC-418A-9B16-9461EE57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inyurl.com/y2hdjcpo" TargetMode="External"/><Relationship Id="rId18" Type="http://schemas.openxmlformats.org/officeDocument/2006/relationships/hyperlink" Target="https://aldianews.com/en/politics/elected-officials/chile-says-no" TargetMode="External"/><Relationship Id="rId26" Type="http://schemas.openxmlformats.org/officeDocument/2006/relationships/hyperlink" Target="https://www.elciudadano.com/chile/hoy-mas-que-nunca-por-la-reconstruccion-de-un-tiempo-de-los-pueblos/09/05/" TargetMode="External"/><Relationship Id="rId39" Type="http://schemas.openxmlformats.org/officeDocument/2006/relationships/hyperlink" Target="https://www.thehindu.com/opinion/op-ed/gabriel-borics-acid-test/article38007187.ece" TargetMode="External"/><Relationship Id="rId21" Type="http://schemas.openxmlformats.org/officeDocument/2006/relationships/hyperlink" Target="https://www.latimes.com/opinion/story/2020-09-04/allende-victory-in-chile-still-matters" TargetMode="External"/><Relationship Id="rId34" Type="http://schemas.openxmlformats.org/officeDocument/2006/relationships/hyperlink" Target="https://www.wsws.org/en/articles/2021/12/21/chil-d21.html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editorialelcolectivo.com/producto/venezuela-vortice-de-la-guerra-del-siglo-xx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aymarketbooks.org/books/1869-struggle-makes-us-human" TargetMode="External"/><Relationship Id="rId20" Type="http://schemas.openxmlformats.org/officeDocument/2006/relationships/hyperlink" Target="https://www.pbs.org/newshour/world/chile-sees-high-turnout-in-vote-on-proposed-new-constitution-with-sweeping-changes" TargetMode="External"/><Relationship Id="rId29" Type="http://schemas.openxmlformats.org/officeDocument/2006/relationships/hyperlink" Target="https://www.researchgate.net/figure/Voter-registration-in-Chile-The-2012-municipal-election-marks-the-adoption-of-automatic_fig1_317730932" TargetMode="External"/><Relationship Id="rId41" Type="http://schemas.openxmlformats.org/officeDocument/2006/relationships/hyperlink" Target="https://www.thehindu.com/opinion/op-ed/gabriel-borics-acid-test/article38007187.ec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vistaopera.com.br/" TargetMode="External"/><Relationship Id="rId11" Type="http://schemas.openxmlformats.org/officeDocument/2006/relationships/hyperlink" Target="https://mayday.leftword.com/" TargetMode="External"/><Relationship Id="rId24" Type="http://schemas.openxmlformats.org/officeDocument/2006/relationships/hyperlink" Target="https://tradingeconomics.com/chile/inflation-cpi" TargetMode="External"/><Relationship Id="rId32" Type="http://schemas.openxmlformats.org/officeDocument/2006/relationships/hyperlink" Target="https://www.leftvoice.org/as-millions-in-chile-hope-for-change-boric-promises-moderation/" TargetMode="External"/><Relationship Id="rId37" Type="http://schemas.openxmlformats.org/officeDocument/2006/relationships/hyperlink" Target="https://twitter.com/joseantoniokast/status/1439010208832016390" TargetMode="External"/><Relationship Id="rId40" Type="http://schemas.openxmlformats.org/officeDocument/2006/relationships/hyperlink" Target="https://thetricontinental.org/pt-pt/brasil/cartilha-sobre-evangelicos-se-debruca-sobre-o-fenomeno-religioso/" TargetMode="External"/><Relationship Id="rId5" Type="http://schemas.openxmlformats.org/officeDocument/2006/relationships/hyperlink" Target="https://globetrotter.media/" TargetMode="External"/><Relationship Id="rId15" Type="http://schemas.openxmlformats.org/officeDocument/2006/relationships/hyperlink" Target="https://smile.amazon.com/Poorer-Nations-Possible-History-Global/dp/1781681589/?tag=alternorg08-20" TargetMode="External"/><Relationship Id="rId23" Type="http://schemas.openxmlformats.org/officeDocument/2006/relationships/hyperlink" Target="https://www.servelelecciones.cl/" TargetMode="External"/><Relationship Id="rId28" Type="http://schemas.openxmlformats.org/officeDocument/2006/relationships/hyperlink" Target="https://socialistrevolution.org/lessons-of-the-chilean-constitutional-referendum-defeat-the-october-process-is-not-over-the-fight-continues/" TargetMode="External"/><Relationship Id="rId36" Type="http://schemas.openxmlformats.org/officeDocument/2006/relationships/hyperlink" Target="https://www.otroscruces.org/el-pentecostalismo-en-chile-vendiendo-su-primogenitura-por-un-plato-de-lentejas/" TargetMode="External"/><Relationship Id="rId10" Type="http://schemas.openxmlformats.org/officeDocument/2006/relationships/hyperlink" Target="https://www.behance.net/ecl2021" TargetMode="External"/><Relationship Id="rId19" Type="http://schemas.openxmlformats.org/officeDocument/2006/relationships/hyperlink" Target="https://chile.activasite.com/estudios/pulso-ciudadano-49/" TargetMode="External"/><Relationship Id="rId31" Type="http://schemas.openxmlformats.org/officeDocument/2006/relationships/hyperlink" Target="https://www.wsws.org/en/articles/2021/12/21/chil-d2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cha.pro/" TargetMode="External"/><Relationship Id="rId14" Type="http://schemas.openxmlformats.org/officeDocument/2006/relationships/hyperlink" Target="https://smile.amazon.com/Darker-Nations-Peoples-History-Third/dp/1595583424/?tag=alternorg08-20" TargetMode="External"/><Relationship Id="rId22" Type="http://schemas.openxmlformats.org/officeDocument/2006/relationships/hyperlink" Target="https://www.servelelecciones.cl/" TargetMode="External"/><Relationship Id="rId27" Type="http://schemas.openxmlformats.org/officeDocument/2006/relationships/hyperlink" Target="https://www.eldesconcierto.cl/reportajes/2022/09/08/clasismo-progresista-que-hay-detras-de-la-criticada-reaccion-del-mundo-apruebo.html" TargetMode="External"/><Relationship Id="rId30" Type="http://schemas.openxmlformats.org/officeDocument/2006/relationships/hyperlink" Target="https://chile.as.com/actualidad/plebiscito-nueva-constitucion-cuando-sera-y-fechas-clave-n/" TargetMode="External"/><Relationship Id="rId35" Type="http://schemas.openxmlformats.org/officeDocument/2006/relationships/hyperlink" Target="https://link.springer.com/referenceworkentry/10.1007/978-3-319-08956-0_497-1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argosob.org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hetricontinental.org/pt-pt/" TargetMode="External"/><Relationship Id="rId17" Type="http://schemas.openxmlformats.org/officeDocument/2006/relationships/hyperlink" Target="https://thenewpress.com/books/withdrawal" TargetMode="External"/><Relationship Id="rId25" Type="http://schemas.openxmlformats.org/officeDocument/2006/relationships/hyperlink" Target="https://peoplesdispatch.org/2020/10/26/chileans-approve-drafting-a-new-constitution/" TargetMode="External"/><Relationship Id="rId33" Type="http://schemas.openxmlformats.org/officeDocument/2006/relationships/hyperlink" Target="https://peoplesdispatch.org/2021/12/16/chile-is-at-the-political-crossroads-social-renewal-or-decades-of-painful-neoliberal-policy/" TargetMode="External"/><Relationship Id="rId38" Type="http://schemas.openxmlformats.org/officeDocument/2006/relationships/hyperlink" Target="https://www.thehindu.com/opinion/op-ed/gabriel-borics-acid-test/article38007187.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o83wwLH/dkO4Bo88MMqaUiSPVw==">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2043</Words>
  <Characters>11649</Characters>
  <Application>Microsoft Office Word</Application>
  <DocSecurity>0</DocSecurity>
  <Lines>97</Lines>
  <Paragraphs>27</Paragraphs>
  <ScaleCrop>false</ScaleCrop>
  <Company/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Ruhi Bhasin</dc:creator>
  <cp:lastModifiedBy>Ruhi Bhasin</cp:lastModifiedBy>
  <cp:revision>2</cp:revision>
  <dcterms:created xsi:type="dcterms:W3CDTF">2022-09-23T20:42:00Z</dcterms:created>
  <dcterms:modified xsi:type="dcterms:W3CDTF">2022-09-23T20:42:00Z</dcterms:modified>
</cp:coreProperties>
</file>