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A6826" w:rsidRPr="005E5AF6" w:rsidRDefault="005E5AF6">
      <w:pPr>
        <w:spacing w:before="200" w:after="200" w:line="276" w:lineRule="auto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Manchete:</w:t>
      </w:r>
      <w:r w:rsidRPr="005E5AF6">
        <w:rPr>
          <w:sz w:val="28"/>
          <w:szCs w:val="28"/>
          <w:lang w:val="pt-BR"/>
        </w:rPr>
        <w:t xml:space="preserve"> A hora da paz e do não-alinhamento</w:t>
      </w:r>
    </w:p>
    <w:p w14:paraId="00000002" w14:textId="77777777" w:rsidR="008A6826" w:rsidRPr="005E5AF6" w:rsidRDefault="005E5AF6">
      <w:pPr>
        <w:spacing w:before="200" w:after="200" w:line="276" w:lineRule="auto"/>
        <w:rPr>
          <w:sz w:val="28"/>
          <w:szCs w:val="28"/>
          <w:lang w:val="pt-BR"/>
        </w:rPr>
      </w:pPr>
      <w:r w:rsidRPr="005E5AF6">
        <w:rPr>
          <w:sz w:val="28"/>
          <w:szCs w:val="28"/>
          <w:lang w:val="pt-BR"/>
        </w:rPr>
        <w:t>Por Roger McKenzie e Vijay Prashad</w:t>
      </w:r>
    </w:p>
    <w:p w14:paraId="00000003" w14:textId="77777777" w:rsidR="008A6826" w:rsidRPr="005E5AF6" w:rsidRDefault="005E5AF6">
      <w:pPr>
        <w:spacing w:before="200" w:after="200" w:line="276" w:lineRule="auto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Biografias dos autores:</w:t>
      </w:r>
      <w:r w:rsidRPr="005E5AF6">
        <w:rPr>
          <w:sz w:val="28"/>
          <w:szCs w:val="28"/>
          <w:lang w:val="pt-BR"/>
        </w:rPr>
        <w:t xml:space="preserve"> </w:t>
      </w:r>
      <w:r w:rsidRPr="005E5AF6">
        <w:rPr>
          <w:i/>
          <w:sz w:val="28"/>
          <w:szCs w:val="28"/>
          <w:lang w:val="pt-BR"/>
        </w:rPr>
        <w:t xml:space="preserve">Este artigo foi produzido por </w:t>
      </w:r>
      <w:hyperlink r:id="rId7">
        <w:r w:rsidRPr="005E5AF6">
          <w:rPr>
            <w:i/>
            <w:color w:val="1155CC"/>
            <w:sz w:val="28"/>
            <w:szCs w:val="28"/>
            <w:highlight w:val="white"/>
            <w:u w:val="single"/>
            <w:lang w:val="pt-BR"/>
          </w:rPr>
          <w:t>Morning Star</w:t>
        </w:r>
      </w:hyperlink>
      <w:r w:rsidRPr="005E5AF6">
        <w:rPr>
          <w:i/>
          <w:sz w:val="28"/>
          <w:szCs w:val="28"/>
          <w:highlight w:val="white"/>
          <w:lang w:val="pt-BR"/>
        </w:rPr>
        <w:t xml:space="preserve"> e </w:t>
      </w:r>
      <w:hyperlink r:id="rId8">
        <w:r w:rsidRPr="005E5AF6">
          <w:rPr>
            <w:i/>
            <w:color w:val="1155CC"/>
            <w:sz w:val="28"/>
            <w:szCs w:val="28"/>
            <w:u w:val="single"/>
            <w:lang w:val="pt-BR"/>
          </w:rPr>
          <w:t>Globetrotter</w:t>
        </w:r>
      </w:hyperlink>
      <w:r w:rsidRPr="005E5AF6">
        <w:rPr>
          <w:i/>
          <w:sz w:val="28"/>
          <w:szCs w:val="28"/>
          <w:lang w:val="pt-BR"/>
        </w:rPr>
        <w:t xml:space="preserve"> e traduzido por Pedro Marin para a </w:t>
      </w:r>
      <w:hyperlink r:id="rId9">
        <w:r w:rsidRPr="005E5AF6">
          <w:rPr>
            <w:i/>
            <w:color w:val="1155CC"/>
            <w:sz w:val="28"/>
            <w:szCs w:val="28"/>
            <w:u w:val="single"/>
            <w:lang w:val="pt-BR"/>
          </w:rPr>
          <w:t>Revista Opera</w:t>
        </w:r>
      </w:hyperlink>
      <w:r w:rsidRPr="005E5AF6">
        <w:rPr>
          <w:i/>
          <w:sz w:val="28"/>
          <w:szCs w:val="28"/>
          <w:lang w:val="pt-BR"/>
        </w:rPr>
        <w:t>.</w:t>
      </w:r>
    </w:p>
    <w:p w14:paraId="00000004" w14:textId="77777777" w:rsidR="008A6826" w:rsidRPr="005E5AF6" w:rsidRDefault="005E5AF6">
      <w:pPr>
        <w:spacing w:before="200" w:after="200" w:line="276" w:lineRule="auto"/>
        <w:ind w:left="720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Roger McKenzie</w:t>
      </w:r>
      <w:r w:rsidRPr="005E5AF6">
        <w:rPr>
          <w:sz w:val="28"/>
          <w:szCs w:val="28"/>
          <w:lang w:val="pt-BR"/>
        </w:rPr>
        <w:t xml:space="preserve"> é repórter no </w:t>
      </w:r>
      <w:hyperlink r:id="rId10">
        <w:r w:rsidRPr="005E5AF6">
          <w:rPr>
            <w:color w:val="1155CC"/>
            <w:sz w:val="28"/>
            <w:szCs w:val="28"/>
            <w:u w:val="single"/>
            <w:lang w:val="pt-BR"/>
          </w:rPr>
          <w:t>Morning Star</w:t>
        </w:r>
      </w:hyperlink>
      <w:r w:rsidRPr="005E5AF6">
        <w:rPr>
          <w:sz w:val="28"/>
          <w:szCs w:val="28"/>
          <w:lang w:val="pt-BR"/>
        </w:rPr>
        <w:t xml:space="preserve"> e secretário-geral da </w:t>
      </w:r>
      <w:hyperlink r:id="rId11">
        <w:r w:rsidRPr="005E5AF6">
          <w:rPr>
            <w:color w:val="1155CC"/>
            <w:sz w:val="28"/>
            <w:szCs w:val="28"/>
            <w:u w:val="single"/>
            <w:lang w:val="pt-BR"/>
          </w:rPr>
          <w:t>Liberation</w:t>
        </w:r>
      </w:hyperlink>
      <w:r w:rsidRPr="005E5AF6">
        <w:rPr>
          <w:sz w:val="28"/>
          <w:szCs w:val="28"/>
          <w:lang w:val="pt-BR"/>
        </w:rPr>
        <w:t>, uma das mais antigas organizações de direitos humanos do Reino Unido.</w:t>
      </w:r>
    </w:p>
    <w:p w14:paraId="00000005" w14:textId="77777777" w:rsidR="008A6826" w:rsidRPr="005E5AF6" w:rsidRDefault="005E5AF6">
      <w:pPr>
        <w:spacing w:before="200" w:after="200" w:line="276" w:lineRule="auto"/>
        <w:ind w:left="720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Vijay Prashad</w:t>
      </w:r>
      <w:r w:rsidRPr="005E5AF6">
        <w:rPr>
          <w:sz w:val="28"/>
          <w:szCs w:val="28"/>
          <w:lang w:val="pt-BR"/>
        </w:rPr>
        <w:t xml:space="preserve"> é um historiador, editor e jornalista indiano. Ele é um dos escrit</w:t>
      </w:r>
      <w:r w:rsidRPr="005E5AF6">
        <w:rPr>
          <w:sz w:val="28"/>
          <w:szCs w:val="28"/>
          <w:lang w:val="pt-BR"/>
        </w:rPr>
        <w:t xml:space="preserve">ores parceiros e correspondente-chefe do Globetrotter, editor-chefe do </w:t>
      </w:r>
      <w:hyperlink r:id="rId12">
        <w:r w:rsidRPr="005E5AF6">
          <w:rPr>
            <w:color w:val="1155CC"/>
            <w:sz w:val="28"/>
            <w:szCs w:val="28"/>
            <w:u w:val="single"/>
            <w:lang w:val="pt-BR"/>
          </w:rPr>
          <w:t>LeftWord Books</w:t>
        </w:r>
      </w:hyperlink>
      <w:r w:rsidRPr="005E5AF6">
        <w:rPr>
          <w:sz w:val="28"/>
          <w:szCs w:val="28"/>
          <w:lang w:val="pt-BR"/>
        </w:rPr>
        <w:t xml:space="preserve"> e diretor do </w:t>
      </w:r>
      <w:hyperlink r:id="rId13">
        <w:r w:rsidRPr="005E5AF6">
          <w:rPr>
            <w:color w:val="1155CC"/>
            <w:sz w:val="28"/>
            <w:szCs w:val="28"/>
            <w:u w:val="single"/>
            <w:lang w:val="pt-BR"/>
          </w:rPr>
          <w:t>Instituto Tricontinental de Pesquisa Social</w:t>
        </w:r>
      </w:hyperlink>
      <w:r w:rsidRPr="005E5AF6">
        <w:rPr>
          <w:sz w:val="28"/>
          <w:szCs w:val="28"/>
          <w:lang w:val="pt-BR"/>
        </w:rPr>
        <w:t>. Também é</w:t>
      </w:r>
      <w:r w:rsidRPr="005E5AF6">
        <w:rPr>
          <w:sz w:val="28"/>
          <w:szCs w:val="28"/>
          <w:lang w:val="pt-BR"/>
        </w:rPr>
        <w:t xml:space="preserve"> um parceiro não-residente do </w:t>
      </w:r>
      <w:hyperlink r:id="rId14">
        <w:r w:rsidRPr="005E5AF6">
          <w:rPr>
            <w:color w:val="1155CC"/>
            <w:sz w:val="28"/>
            <w:szCs w:val="28"/>
            <w:u w:val="single"/>
            <w:lang w:val="pt-BR"/>
          </w:rPr>
          <w:t>Instituto para Estudos Financeiros Chongyang</w:t>
        </w:r>
      </w:hyperlink>
      <w:r w:rsidRPr="005E5AF6">
        <w:rPr>
          <w:sz w:val="28"/>
          <w:szCs w:val="28"/>
          <w:lang w:val="pt-BR"/>
        </w:rPr>
        <w:t xml:space="preserve">, da Universidade Renmin da China. Autor de mais de 20 livros, incluindo </w:t>
      </w:r>
      <w:hyperlink r:id="rId15">
        <w:r w:rsidRPr="005E5AF6">
          <w:rPr>
            <w:i/>
            <w:color w:val="1155CC"/>
            <w:sz w:val="28"/>
            <w:szCs w:val="28"/>
            <w:u w:val="single"/>
            <w:lang w:val="pt-BR"/>
          </w:rPr>
          <w:t>The Darker Nations</w:t>
        </w:r>
      </w:hyperlink>
      <w:r w:rsidRPr="005E5AF6">
        <w:rPr>
          <w:sz w:val="28"/>
          <w:szCs w:val="28"/>
          <w:lang w:val="pt-BR"/>
        </w:rPr>
        <w:t xml:space="preserve"> e </w:t>
      </w:r>
      <w:hyperlink r:id="rId16">
        <w:r w:rsidRPr="005E5AF6">
          <w:rPr>
            <w:i/>
            <w:color w:val="1155CC"/>
            <w:sz w:val="28"/>
            <w:szCs w:val="28"/>
            <w:u w:val="single"/>
            <w:lang w:val="pt-BR"/>
          </w:rPr>
          <w:t>The Poorer Nations</w:t>
        </w:r>
      </w:hyperlink>
      <w:r w:rsidRPr="005E5AF6">
        <w:rPr>
          <w:sz w:val="28"/>
          <w:szCs w:val="28"/>
          <w:lang w:val="pt-BR"/>
        </w:rPr>
        <w:t xml:space="preserve">, seu último livro é o </w:t>
      </w:r>
      <w:hyperlink r:id="rId17">
        <w:r w:rsidRPr="005E5AF6">
          <w:rPr>
            <w:i/>
            <w:color w:val="1155CC"/>
            <w:sz w:val="28"/>
            <w:szCs w:val="28"/>
            <w:u w:val="single"/>
            <w:lang w:val="pt-BR"/>
          </w:rPr>
          <w:t>Balas de Washington</w:t>
        </w:r>
      </w:hyperlink>
      <w:r w:rsidRPr="005E5AF6">
        <w:rPr>
          <w:sz w:val="28"/>
          <w:szCs w:val="28"/>
          <w:lang w:val="pt-BR"/>
        </w:rPr>
        <w:t>, com introdução de Evo Morales Ayma.</w:t>
      </w:r>
    </w:p>
    <w:p w14:paraId="00000006" w14:textId="77777777" w:rsidR="008A6826" w:rsidRPr="005E5AF6" w:rsidRDefault="005E5AF6">
      <w:pPr>
        <w:widowControl w:val="0"/>
        <w:spacing w:before="200" w:after="200" w:line="276" w:lineRule="auto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Fonte:</w:t>
      </w:r>
      <w:r w:rsidRPr="005E5AF6">
        <w:rPr>
          <w:sz w:val="28"/>
          <w:szCs w:val="28"/>
          <w:lang w:val="pt-BR"/>
        </w:rPr>
        <w:t xml:space="preserve"> Globetrotter</w:t>
      </w:r>
    </w:p>
    <w:p w14:paraId="00000007" w14:textId="77777777" w:rsidR="008A6826" w:rsidRPr="005E5AF6" w:rsidRDefault="005E5AF6">
      <w:pPr>
        <w:widowControl w:val="0"/>
        <w:spacing w:before="200" w:after="200" w:line="276" w:lineRule="auto"/>
        <w:rPr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Rótulos:</w:t>
      </w:r>
      <w:r w:rsidRPr="005E5AF6">
        <w:rPr>
          <w:sz w:val="28"/>
          <w:szCs w:val="28"/>
          <w:lang w:val="pt-BR"/>
        </w:rPr>
        <w:t xml:space="preserve"> </w:t>
      </w:r>
      <w:r w:rsidRPr="005E5AF6">
        <w:rPr>
          <w:sz w:val="28"/>
          <w:szCs w:val="28"/>
          <w:highlight w:val="white"/>
          <w:lang w:val="pt-BR"/>
        </w:rPr>
        <w:t xml:space="preserve">Guerra, História, Política, Direitos humanos, </w:t>
      </w:r>
      <w:r w:rsidRPr="005E5AF6">
        <w:rPr>
          <w:sz w:val="28"/>
          <w:szCs w:val="28"/>
          <w:highlight w:val="white"/>
          <w:lang w:val="pt-BR"/>
        </w:rPr>
        <w:t>Ativismo, Saúde, Benefícios sociais, Alimentação, Economia, Justiça social, Mídia, Ciência, Tecnologia, Mudança climática, Meio ambiente, Ásia/Japão, Europa/Alemanha, América do Norte/Estados Unidos, Europa/Reino Unido, Europa/Ucrânia, Europa/Rússia, Orien</w:t>
      </w:r>
      <w:r w:rsidRPr="005E5AF6">
        <w:rPr>
          <w:sz w:val="28"/>
          <w:szCs w:val="28"/>
          <w:highlight w:val="white"/>
          <w:lang w:val="pt-BR"/>
        </w:rPr>
        <w:t>te Médio/Iêmen, Ásia/Indonésia, Ásia/China, América do Sul/Peru, América Central/Honduras, África/Marrocos, África/Somália, Ásia/Índia, África/África do Sul, Ásia/Paquistão, Ásia/Sri Lanka, Europa, Ásia, África, Oriente Médio, América do Sul, América Centr</w:t>
      </w:r>
      <w:r w:rsidRPr="005E5AF6">
        <w:rPr>
          <w:sz w:val="28"/>
          <w:szCs w:val="28"/>
          <w:highlight w:val="white"/>
          <w:lang w:val="pt-BR"/>
        </w:rPr>
        <w:t>al, América do Norte, Opinião, Curto prazo</w:t>
      </w:r>
    </w:p>
    <w:p w14:paraId="00000008" w14:textId="77777777" w:rsidR="008A6826" w:rsidRPr="005E5AF6" w:rsidRDefault="008A6826">
      <w:pPr>
        <w:spacing w:before="200" w:after="200" w:line="276" w:lineRule="auto"/>
        <w:rPr>
          <w:b/>
          <w:sz w:val="28"/>
          <w:szCs w:val="28"/>
          <w:lang w:val="pt-BR"/>
        </w:rPr>
      </w:pPr>
    </w:p>
    <w:p w14:paraId="00000009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b/>
          <w:sz w:val="28"/>
          <w:szCs w:val="28"/>
          <w:lang w:val="pt-BR"/>
        </w:rPr>
        <w:t>[Corpo do artigo:]</w:t>
      </w:r>
    </w:p>
    <w:p w14:paraId="0000000A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>A guerra é uma das partes feias da experiência humana. Tudo nela é medonho. Ela é o ato mais óbvio de invasão e brutalidade, aspectos que sempre acompanham suas operações. Nenhuma guerra é prec</w:t>
      </w:r>
      <w:r w:rsidRPr="005E5AF6">
        <w:rPr>
          <w:color w:val="000000"/>
          <w:sz w:val="28"/>
          <w:szCs w:val="28"/>
          <w:lang w:val="pt-BR"/>
        </w:rPr>
        <w:t>isa; toda guerra atinge civis. Cada ato de bombardeio provoca um estremecimento neurológico na sociedade.</w:t>
      </w:r>
    </w:p>
    <w:p w14:paraId="0000000B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lastRenderedPageBreak/>
        <w:t>A Segunda Guerra Mundial deu mostra desse horror no Holocausto e no bombardeio atômico de Hiroshima e Nagasaki. A partir do Holocausto e de Hiroshima,</w:t>
      </w:r>
      <w:r w:rsidRPr="005E5AF6">
        <w:rPr>
          <w:color w:val="000000"/>
          <w:sz w:val="28"/>
          <w:szCs w:val="28"/>
          <w:lang w:val="pt-BR"/>
        </w:rPr>
        <w:t xml:space="preserve"> cresceram dois poderosos movimentos, um pela paz e contra os perigos de mais ataques nucleares, e outro pelo fim da divisão da humanidade e pelo não-alinhamento a essa divisão. O Apelo de Estocolmo de 1950, assinado por 300 milhões de pessoas, demandou um</w:t>
      </w:r>
      <w:r w:rsidRPr="005E5AF6">
        <w:rPr>
          <w:color w:val="000000"/>
          <w:sz w:val="28"/>
          <w:szCs w:val="28"/>
          <w:lang w:val="pt-BR"/>
        </w:rPr>
        <w:t xml:space="preserve"> banimento absoluto das armas nucleares. Cinco anos depois, 29 países da África e da Ásia, representando 54% da população mundial, se reuniram em Bandung, na Indonésia, para assinar um documento de dez pontos contra a guerra e pela “promoção dos interesses</w:t>
      </w:r>
      <w:r w:rsidRPr="005E5AF6">
        <w:rPr>
          <w:color w:val="000000"/>
          <w:sz w:val="28"/>
          <w:szCs w:val="28"/>
          <w:lang w:val="pt-BR"/>
        </w:rPr>
        <w:t xml:space="preserve"> mútuos e a cooperação”. O espectro de Bandung se orientava à paz e ao não-alinhamento, para que os povos do mundo centrassem seus esforços em construir um processo de erradicação dos seus fardos históricos (analfabetismo, doença, fome) fazendo uso de sua </w:t>
      </w:r>
      <w:r w:rsidRPr="005E5AF6">
        <w:rPr>
          <w:color w:val="000000"/>
          <w:sz w:val="28"/>
          <w:szCs w:val="28"/>
          <w:lang w:val="pt-BR"/>
        </w:rPr>
        <w:t>riqueza social. Por que gastar dinheiro em armas nucleares quando o dinheiro deveria ser gasto em salas de aula e hospitais?</w:t>
      </w:r>
    </w:p>
    <w:p w14:paraId="0000000C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 xml:space="preserve">Apesar dos grandes ganhos de muitas das novas nações que haviam emergido do colonialismo, </w:t>
      </w:r>
      <w:proofErr w:type="gramStart"/>
      <w:r w:rsidRPr="005E5AF6">
        <w:rPr>
          <w:color w:val="000000"/>
          <w:sz w:val="28"/>
          <w:szCs w:val="28"/>
          <w:lang w:val="pt-BR"/>
        </w:rPr>
        <w:t>a força esmagadora dos antigos poderes co</w:t>
      </w:r>
      <w:r w:rsidRPr="005E5AF6">
        <w:rPr>
          <w:color w:val="000000"/>
          <w:sz w:val="28"/>
          <w:szCs w:val="28"/>
          <w:lang w:val="pt-BR"/>
        </w:rPr>
        <w:t>loniais impediram</w:t>
      </w:r>
      <w:proofErr w:type="gramEnd"/>
      <w:r w:rsidRPr="005E5AF6">
        <w:rPr>
          <w:color w:val="000000"/>
          <w:sz w:val="28"/>
          <w:szCs w:val="28"/>
          <w:lang w:val="pt-BR"/>
        </w:rPr>
        <w:t xml:space="preserve"> que o espírito de Bandung definisse a história humana. Ao invés disso, a civilização da guerra prevaleceu. Essa civilização da guerra é revelada no maciço gasto de riquezas humanas na produção de forças armadas – suficiente para destruir </w:t>
      </w:r>
      <w:r w:rsidRPr="005E5AF6">
        <w:rPr>
          <w:color w:val="000000"/>
          <w:sz w:val="28"/>
          <w:szCs w:val="28"/>
          <w:lang w:val="pt-BR"/>
        </w:rPr>
        <w:t>centenas de planetas – e no uso dessas forças armadas como uma primeira opção para resolver disputas. Desde os anos 1950, o campo de batalha dessas ambições não foi a Europa ou a América do Norte, mas a África, a Ásia e a América Latina – áreas do mundo on</w:t>
      </w:r>
      <w:r w:rsidRPr="005E5AF6">
        <w:rPr>
          <w:color w:val="000000"/>
          <w:sz w:val="28"/>
          <w:szCs w:val="28"/>
          <w:lang w:val="pt-BR"/>
        </w:rPr>
        <w:t>de a vida humana é menos importante para as retrógradas sensibilidades coloniais. Essa divisão internacional da humanidade – que predica que a guerra no Iêmen é normal, ao passo que a guerra na Ucrânia é terrível – é definidora de nossos tempos. Há 40 guer</w:t>
      </w:r>
      <w:r w:rsidRPr="005E5AF6">
        <w:rPr>
          <w:color w:val="000000"/>
          <w:sz w:val="28"/>
          <w:szCs w:val="28"/>
          <w:lang w:val="pt-BR"/>
        </w:rPr>
        <w:t>ras ocorrendo em todo o mundo; é necessário vontade política para pôr fim a cada uma delas, não somente àquelas acontecendo na Europa. A bandeira ucraniana é onipresente no Ocidente; quais são as cores da bandeira iemenita, da bandeira saharaui e da bandei</w:t>
      </w:r>
      <w:r w:rsidRPr="005E5AF6">
        <w:rPr>
          <w:color w:val="000000"/>
          <w:sz w:val="28"/>
          <w:szCs w:val="28"/>
          <w:lang w:val="pt-BR"/>
        </w:rPr>
        <w:t>ra somali?</w:t>
      </w:r>
    </w:p>
    <w:p w14:paraId="0000000D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b/>
          <w:color w:val="000000"/>
          <w:sz w:val="28"/>
          <w:szCs w:val="28"/>
          <w:lang w:val="pt-BR"/>
        </w:rPr>
      </w:pPr>
      <w:r w:rsidRPr="005E5AF6">
        <w:rPr>
          <w:b/>
          <w:color w:val="000000"/>
          <w:sz w:val="28"/>
          <w:szCs w:val="28"/>
          <w:lang w:val="pt-BR"/>
        </w:rPr>
        <w:t>Retornar à paz, retornar ao não-alinhamento</w:t>
      </w:r>
    </w:p>
    <w:p w14:paraId="0000000E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>Somos soterrados nesses dias com certezas que parecem cada vez mais irreais. À medida que a guerra da Rússia na Ucrânia continua, é fortalecida a desconcertante visão de que negociações são fúteis. Ess</w:t>
      </w:r>
      <w:r w:rsidRPr="005E5AF6">
        <w:rPr>
          <w:color w:val="000000"/>
          <w:sz w:val="28"/>
          <w:szCs w:val="28"/>
          <w:lang w:val="pt-BR"/>
        </w:rPr>
        <w:t xml:space="preserve">a visão circula até mesmo entre pessoas de mentalidade razoável, que concordam que todas as </w:t>
      </w:r>
      <w:r w:rsidRPr="005E5AF6">
        <w:rPr>
          <w:color w:val="000000"/>
          <w:sz w:val="28"/>
          <w:szCs w:val="28"/>
          <w:lang w:val="pt-BR"/>
        </w:rPr>
        <w:lastRenderedPageBreak/>
        <w:t>guerras devem acabar por meio de negociações. Se esse é o caso, por que não fazer um chamado por um cessar-fogo imediato, e construir a confiança necessária para av</w:t>
      </w:r>
      <w:r w:rsidRPr="005E5AF6">
        <w:rPr>
          <w:color w:val="000000"/>
          <w:sz w:val="28"/>
          <w:szCs w:val="28"/>
          <w:lang w:val="pt-BR"/>
        </w:rPr>
        <w:t>ançar negociações? Negociações só são viáveis se houver respeito de todas as partes, e se houver uma tentativa de entendimento do fato de que todos os lados em um conflito militar têm demandas razoáveis. Ou seja, pintar essa guerra como um capricho do pres</w:t>
      </w:r>
      <w:r w:rsidRPr="005E5AF6">
        <w:rPr>
          <w:color w:val="000000"/>
          <w:sz w:val="28"/>
          <w:szCs w:val="28"/>
          <w:lang w:val="pt-BR"/>
        </w:rPr>
        <w:t>idente russo Vladimir Putin é parte do exercício da guerra permanente. Garantias de segurança à Ucrânia são necessárias, mas também são necessárias à Rússia, o que incluiria um retorno a um regime internacional de controle de armas sério.</w:t>
      </w:r>
    </w:p>
    <w:p w14:paraId="0000000F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>A paz não virá so</w:t>
      </w:r>
      <w:r w:rsidRPr="005E5AF6">
        <w:rPr>
          <w:color w:val="000000"/>
          <w:sz w:val="28"/>
          <w:szCs w:val="28"/>
          <w:lang w:val="pt-BR"/>
        </w:rPr>
        <w:t>mente porque a desejamos. Ela requer uma luta nas trincheiras das ideias e das instituições. As forças políticas no poder lucram com a guerra, por isso trajam seu chauvinismo para melhor representar os negociantes de armas que querem mais guerra, não menos</w:t>
      </w:r>
      <w:r w:rsidRPr="005E5AF6">
        <w:rPr>
          <w:color w:val="000000"/>
          <w:sz w:val="28"/>
          <w:szCs w:val="28"/>
          <w:lang w:val="pt-BR"/>
        </w:rPr>
        <w:t>. A essas pessoas, em seus burocráticos ternos azuis, não devemos confiar o futuro do mundo. Elas falham conosco no que se refere à catástrofe climática; falham conosco quando se trata da pandemia; elas falharão conosco no que tange à construção da paz. Pr</w:t>
      </w:r>
      <w:r w:rsidRPr="005E5AF6">
        <w:rPr>
          <w:color w:val="000000"/>
          <w:sz w:val="28"/>
          <w:szCs w:val="28"/>
          <w:lang w:val="pt-BR"/>
        </w:rPr>
        <w:t>ecisamos reavivar os velhos espectros da paz e do não-alinhamento para colocá-los em voga nos movimentos de massa, que são a única esperança desse planeta.</w:t>
      </w:r>
    </w:p>
    <w:p w14:paraId="00000010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 xml:space="preserve">Não é um passo meramente sentimental voltar ao passado para dar vida ao Movimento dos Não-Alinhados </w:t>
      </w:r>
      <w:r w:rsidRPr="005E5AF6">
        <w:rPr>
          <w:color w:val="000000"/>
          <w:sz w:val="28"/>
          <w:szCs w:val="28"/>
          <w:lang w:val="pt-BR"/>
        </w:rPr>
        <w:t xml:space="preserve">de hoje. As contradições do presente já levantaram o espectro do não-alinhamento em partes da África, Ásia e América Latina. A maioria desses países votou contra a condenação da Rússia não porque apoiem a guerra da Rússia na Ucrânia, mas porque reconhecem </w:t>
      </w:r>
      <w:r w:rsidRPr="005E5AF6">
        <w:rPr>
          <w:color w:val="000000"/>
          <w:sz w:val="28"/>
          <w:szCs w:val="28"/>
          <w:lang w:val="pt-BR"/>
        </w:rPr>
        <w:t>que a polarização é um erro fatal. O que necessitamos é uma alternativa aos dois campos mundiais da Guerra Fria. Esta é a razão pela qual os líderes de muitos desses países – do presidente chinês Xi Jinping ao primeiro-ministro indiano Narendra Modi, passa</w:t>
      </w:r>
      <w:r w:rsidRPr="005E5AF6">
        <w:rPr>
          <w:color w:val="000000"/>
          <w:sz w:val="28"/>
          <w:szCs w:val="28"/>
          <w:lang w:val="pt-BR"/>
        </w:rPr>
        <w:t>ndo pelo presidente sul-africano Cyril Ramaphosa – fizeram um apelo, apesar de suas orientações políticas bastante divergentes, por uma superação da “mentalidade da Guerra Fria”. Eles já estão dando passos em direção a uma plataforma não-alinhada. É esse m</w:t>
      </w:r>
      <w:r w:rsidRPr="005E5AF6">
        <w:rPr>
          <w:color w:val="000000"/>
          <w:sz w:val="28"/>
          <w:szCs w:val="28"/>
          <w:lang w:val="pt-BR"/>
        </w:rPr>
        <w:t>ovimento da história que nos provoca a refletir sobre um retorno aos conceitos do não-alinhamento e da paz.</w:t>
      </w:r>
    </w:p>
    <w:p w14:paraId="00000011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 xml:space="preserve">Ninguém quer imaginar as implicações totais de um cerco à China e à Rússia pelos Estados Unidos e seus aliados. Até países que são aliados próximos </w:t>
      </w:r>
      <w:r w:rsidRPr="005E5AF6">
        <w:rPr>
          <w:color w:val="000000"/>
          <w:sz w:val="28"/>
          <w:szCs w:val="28"/>
          <w:lang w:val="pt-BR"/>
        </w:rPr>
        <w:t xml:space="preserve">dos Estados Unidos – como a Alemanha e o Japão – reconhecem que se uma nova cortina de ferro for posta ao redor da China e da Rússia, ela seria fatal para seus </w:t>
      </w:r>
      <w:r w:rsidRPr="005E5AF6">
        <w:rPr>
          <w:color w:val="000000"/>
          <w:sz w:val="28"/>
          <w:szCs w:val="28"/>
          <w:lang w:val="pt-BR"/>
        </w:rPr>
        <w:lastRenderedPageBreak/>
        <w:t>próprios países. A guerra e as sanções já criaram sérias crises políticas em Honduras, Paquistão</w:t>
      </w:r>
      <w:r w:rsidRPr="005E5AF6">
        <w:rPr>
          <w:color w:val="000000"/>
          <w:sz w:val="28"/>
          <w:szCs w:val="28"/>
          <w:lang w:val="pt-BR"/>
        </w:rPr>
        <w:t>, Peru, Sri Lanka, com a expectativa de mais crises à medida que os preços dos alimentos e combustíveis cresçam astronomicamente. A guerra é muito cara para as nações pobres. Os gastos da guerra estão comendo o espírito humano, e a própria guerra tem aumen</w:t>
      </w:r>
      <w:r w:rsidRPr="005E5AF6">
        <w:rPr>
          <w:color w:val="000000"/>
          <w:sz w:val="28"/>
          <w:szCs w:val="28"/>
          <w:lang w:val="pt-BR"/>
        </w:rPr>
        <w:t>tado o sentimento de desespero dos povos.</w:t>
      </w:r>
    </w:p>
    <w:p w14:paraId="00000012" w14:textId="77777777" w:rsidR="008A6826" w:rsidRPr="005E5AF6" w:rsidRDefault="005E5AF6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color w:val="000000"/>
          <w:sz w:val="28"/>
          <w:szCs w:val="28"/>
          <w:lang w:val="pt-BR"/>
        </w:rPr>
      </w:pPr>
      <w:r w:rsidRPr="005E5AF6">
        <w:rPr>
          <w:color w:val="000000"/>
          <w:sz w:val="28"/>
          <w:szCs w:val="28"/>
          <w:lang w:val="pt-BR"/>
        </w:rPr>
        <w:t xml:space="preserve">Os guerristas são idealistas. As guerras deles não resolvem os maiores dilemas da humanidade. As ideias de não-alinhamento e paz, por outro lado, são realistas; elas oferecem respostas às crianças que querem comer </w:t>
      </w:r>
      <w:r w:rsidRPr="005E5AF6">
        <w:rPr>
          <w:color w:val="000000"/>
          <w:sz w:val="28"/>
          <w:szCs w:val="28"/>
          <w:lang w:val="pt-BR"/>
        </w:rPr>
        <w:t>e aprender, brincar e sonhar.</w:t>
      </w:r>
    </w:p>
    <w:sectPr w:rsidR="008A6826" w:rsidRPr="005E5AF6">
      <w:headerReference w:type="default" r:id="rId18"/>
      <w:footerReference w:type="default" r:id="rId1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40BE" w14:textId="77777777" w:rsidR="00000000" w:rsidRDefault="005E5AF6">
      <w:r>
        <w:separator/>
      </w:r>
    </w:p>
  </w:endnote>
  <w:endnote w:type="continuationSeparator" w:id="0">
    <w:p w14:paraId="56298D53" w14:textId="77777777" w:rsidR="00000000" w:rsidRDefault="005E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8A6826" w:rsidRDefault="008A682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CDA5" w14:textId="77777777" w:rsidR="00000000" w:rsidRDefault="005E5AF6">
      <w:r>
        <w:separator/>
      </w:r>
    </w:p>
  </w:footnote>
  <w:footnote w:type="continuationSeparator" w:id="0">
    <w:p w14:paraId="60CFE7E7" w14:textId="77777777" w:rsidR="00000000" w:rsidRDefault="005E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8A6826" w:rsidRDefault="008A682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6"/>
    <w:rsid w:val="005E5AF6"/>
    <w:rsid w:val="008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BA1A9-4F05-447D-A04F-8D92392D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Corpo">
    <w:name w:val="Co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pt-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etrotter.media/" TargetMode="External"/><Relationship Id="rId13" Type="http://schemas.openxmlformats.org/officeDocument/2006/relationships/hyperlink" Target="https://thetricontinental.org/pt-pt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rningstaronline.co.uk/" TargetMode="External"/><Relationship Id="rId12" Type="http://schemas.openxmlformats.org/officeDocument/2006/relationships/hyperlink" Target="https://mayday.leftword.com/" TargetMode="External"/><Relationship Id="rId17" Type="http://schemas.openxmlformats.org/officeDocument/2006/relationships/hyperlink" Target="https://mayday.leftword.com/catalog/product/view/id/218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ile.amazon.com/Poorer-Nations-Possible-History-Global/dp/1781681589/?tag=alternorg08-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erationorg.co.uk/about-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mile.amazon.com/Darker-Nations-Peoples-History-Third/dp/1595583424/?tag=alternorg08-20" TargetMode="External"/><Relationship Id="rId10" Type="http://schemas.openxmlformats.org/officeDocument/2006/relationships/hyperlink" Target="https://morningstaronline.co.uk/author/roger-mckenzi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vistaopera.com.br/" TargetMode="External"/><Relationship Id="rId14" Type="http://schemas.openxmlformats.org/officeDocument/2006/relationships/hyperlink" Target="https://tinyurl.com/y2hdjcp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DS0kBQY/0R0/KHNfwOiSRWJPA==">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2022-05-25T14:10:00Z</dcterms:created>
  <dcterms:modified xsi:type="dcterms:W3CDTF">2022-05-25T14:10:00Z</dcterms:modified>
</cp:coreProperties>
</file>