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não-alinhamento de Cuba: uma política internacional por paz e socialismo</w:t>
      </w:r>
    </w:p>
    <w:p w14:paraId="00000002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Sumário: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tradição do não-alinhamento de Cuba, parte do Movimento dos Não-Alinhados, nascido na Guerra Fria, deve ser reconsiderado em um momento de divisão latino-americana e tensionamento na Europa.</w:t>
      </w:r>
    </w:p>
    <w:p w14:paraId="00000003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Por Manolo De Los Santos</w:t>
      </w:r>
    </w:p>
    <w:p w14:paraId="00000004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do autor: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artig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 foi p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roduzido por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Morning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Star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traduzido por Pedro Marin para a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Manolo De Los Santos é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co-diretor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executivo do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People’s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Forum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pesquisador do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Tricontinental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de Pesquisa Social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64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Coeditou, mais recentemente, </w:t>
      </w:r>
      <w:r w:rsidRPr="006764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Viviremos: Venezuela vs. Guerra Hí</w:t>
      </w:r>
      <w:r w:rsidRPr="006764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brida</w:t>
      </w:r>
      <w:r w:rsidRPr="006764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fldChar w:fldCharType="begin"/>
      </w:r>
      <w:r w:rsidRPr="006764F9">
        <w:rPr>
          <w:lang w:val="en-US"/>
        </w:rPr>
        <w:instrText>HYPERLINK "https://mayday.leftword.com/catalog/product/view/id/22050" \h</w:instrText>
      </w:r>
      <w:r>
        <w:fldChar w:fldCharType="separate"/>
      </w:r>
      <w:r w:rsidRPr="006764F9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LeftWord</w:t>
      </w:r>
      <w:proofErr w:type="spellEnd"/>
      <w:r w:rsidRPr="006764F9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 xml:space="preserve"> Books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 w:rsidRPr="006764F9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hyperlink r:id="rId10">
        <w:r w:rsidRPr="006764F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1804 Books</w:t>
        </w:r>
      </w:hyperlink>
      <w:r w:rsidRPr="006764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2020) e </w:t>
      </w:r>
      <w:r w:rsidRPr="006764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Comrade of the Revolution: Selected Speeches of Fidel Castro</w:t>
      </w:r>
      <w:r w:rsidRPr="006764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fldChar w:fldCharType="begin"/>
      </w:r>
      <w:r w:rsidRPr="006764F9">
        <w:rPr>
          <w:lang w:val="en-US"/>
        </w:rPr>
        <w:instrText>HYPERLINK "https://mayday.leftword.com/catalog/product/view/id/22524" \h</w:instrText>
      </w:r>
      <w:r>
        <w:fldChar w:fldCharType="separate"/>
      </w:r>
      <w:r w:rsidRPr="006764F9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LeftWord</w:t>
      </w:r>
      <w:proofErr w:type="spellEnd"/>
      <w:r w:rsidRPr="006764F9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 xml:space="preserve"> Books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 w:rsidRPr="006764F9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hyperlink r:id="rId11">
        <w:r w:rsidRPr="006764F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1804 Books</w:t>
        </w:r>
      </w:hyperlink>
      <w:r w:rsidRPr="006764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2021).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É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co-coordenador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Cúpula dos Povos pel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Democracia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77777777" w:rsidR="00E92F0D" w:rsidRDefault="00070924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6" w14:textId="77777777" w:rsidR="00E92F0D" w:rsidRDefault="00070924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Ativismo, História, Economia, Comércio, Justiça social, Política, Guerra, Caribe/Cuba, Ásia/Indonésia, América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Norte/Estados Unidos, América do Norte/México, América do Sul/Bolívia, América do Sul/Venezuela, América Central/Nicarágua, Ásia, América do Norte, América do Sul, América Central, África, Oceania, Notícias, Opinião,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Curto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prazo</w:t>
      </w:r>
    </w:p>
    <w:p w14:paraId="00000007" w14:textId="77777777" w:rsidR="00E92F0D" w:rsidRDefault="00E92F0D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9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Apesar do fato de que as cidades de Bandung, na Indonésia, e Havana, em Cuba, não poderiam estar mais distantes geograficamente – com cada uma delas localizadas em distantes ilhas em seus respectivos países e separadas por mais de 17 mil quilômetros – as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uas cidades estiveram bastante próximas ideologicamente na imaginação de muitas pessoas no Sul Global. O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Projeto do Terceiro Mundo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nascido da colaboração contínua dos novos estados recém independentes e suas lutas por </w:t>
      </w:r>
      <w:r>
        <w:rPr>
          <w:rFonts w:ascii="Times New Roman" w:eastAsia="Times New Roman" w:hAnsi="Times New Roman" w:cs="Times New Roman"/>
          <w:sz w:val="28"/>
          <w:szCs w:val="28"/>
        </w:rPr>
        <w:t>libertação nacional, definiu e continua a definir a história dos movimentos por paz e não-alinhamento ainda hoje.</w:t>
      </w:r>
    </w:p>
    <w:p w14:paraId="0000000A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Quando a Conferência de Bandung começou, em 18 de abril de 1955, Fidel Castro ainda era um preso político na então chamada Ilha de Pinhos, ao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sul de Havana. Ele cumpria uma sentença de 15 anos de prisão por ter organizado um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ataque fracassado contra o Quartel Moncada dois anos antes. Naqueles anos de prisão, durante os quais o jovem Fidel leu ferozmente, ele começou a solidificar suas ideias sob</w:t>
      </w:r>
      <w:r>
        <w:rPr>
          <w:rFonts w:ascii="Times New Roman" w:eastAsia="Times New Roman" w:hAnsi="Times New Roman" w:cs="Times New Roman"/>
          <w:sz w:val="28"/>
          <w:szCs w:val="28"/>
        </w:rPr>
        <w:t>re os conceitos de soberania e independência, e como eles precisavam ser redefinidos no contexto da Guerra Fria, no qual o imperialismo desenvolvia novas abordagens no sentido de manter a subjugação de continentes inteiros.</w:t>
      </w:r>
    </w:p>
    <w:p w14:paraId="0000000B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À medida que Fidel e seus camara</w:t>
      </w:r>
      <w:r>
        <w:rPr>
          <w:rFonts w:ascii="Times New Roman" w:eastAsia="Times New Roman" w:hAnsi="Times New Roman" w:cs="Times New Roman"/>
          <w:sz w:val="28"/>
          <w:szCs w:val="28"/>
        </w:rPr>
        <w:t>das na prisão traçavam um novo caminho para Cuba, ficava claro que sua causa de libertação nacional precisaria estar intimamente conectada a um projeto mais amplo visando o desenvolvimento e o trabalho por um não-alinhamento ativo para os povos do Terceiro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Mundo.</w:t>
      </w:r>
    </w:p>
    <w:p w14:paraId="0000000C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Numa mesa redonda em Bandung, na Indonésia, os líderes do Terceiro Mundo lançavam uma luta global para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reestruturar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 sistema mundial prevalecente naqueles tempos. A conferência foi lugar de convergência dos pa</w:t>
      </w:r>
      <w:r>
        <w:rPr>
          <w:rFonts w:ascii="Times New Roman" w:eastAsia="Times New Roman" w:hAnsi="Times New Roman" w:cs="Times New Roman"/>
          <w:sz w:val="28"/>
          <w:szCs w:val="28"/>
        </w:rPr>
        <w:t>íses socialistas e do Terceiro Mundo, e testemunhou uma crescente unidade entre essas nações nas lutas para aprofundar o processo de descolonização.</w:t>
      </w:r>
    </w:p>
    <w:p w14:paraId="0000000D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Conferência de Bandung, os governos independentes da Ásia e África levantaram a urgência de reviver a lu</w:t>
      </w:r>
      <w:r>
        <w:rPr>
          <w:rFonts w:ascii="Times New Roman" w:eastAsia="Times New Roman" w:hAnsi="Times New Roman" w:cs="Times New Roman"/>
          <w:sz w:val="28"/>
          <w:szCs w:val="28"/>
        </w:rPr>
        <w:t>ta anticolonial e anti-imperialista e a necessidade de unir e solidificar cada vez mais os interesses e aspirações de seus povos. Enquanto isso, a vasta maioria dos governos da América Latina estavam contra os interesses e aspirações de seus povos, e profu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ndamente submetidos ao imperialismo norte-americano sob o disfarce da Organização dos Estados Americanos (OEA), que já funcionava como o Ministério das Colônias do Departamento de Estado dos EUA,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como F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idel depois a apelidaria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 1959, a Revolução Cubana triunfou. Ela marcou um transformador ponto sem volta para a América Latina e suas relações 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os Estados Unidos. O governo estadunidense decidiria não reconhecer o processo revolucionário na ilha. Em 1961, Cuba se tornou o foco da agressão norte-americana na região, levando a um bloqueio que hoje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já tem seis décadas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ela primeira vez na história, um movimento guerrilheiro tinha levado adiante uma revolução e confrontado o imperialismo dos Estados Unidos bem debaixo de seu nariz, desencadeando profundas transformações em sua estrutura socioeconômica, que se opunham aos </w:t>
      </w:r>
      <w:r>
        <w:rPr>
          <w:rFonts w:ascii="Times New Roman" w:eastAsia="Times New Roman" w:hAnsi="Times New Roman" w:cs="Times New Roman"/>
          <w:sz w:val="28"/>
          <w:szCs w:val="28"/>
        </w:rPr>
        <w:t>interesses neocoloniais de dominação estadunidense.</w:t>
      </w:r>
    </w:p>
    <w:p w14:paraId="0000000F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Pouco tempo depois, Cuba se tornou o único país da América Latina a fazer parte do Movimento dos Não-Alinhados (MNA), criado na Iugoslávia em 1961. Fidel Castro e a Revolução Cubana começariam a ter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um papel estratégico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solidariedade internacionalista com as lutas de libertação anticoloniais e anti-imperialistas dos povos do Terceiro Mundo.</w:t>
      </w:r>
    </w:p>
    <w:p w14:paraId="00000010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Revolução Cubana estava plenamente consciente de que seu destino estava ligado ao dos povos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América Latina, Ásia e África. Como Fidel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declarou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1962, “qual é a história de Cuba senão a história da América Latina? E qual é a história da América Latina senão a história da Ásia, África e Oceania? E </w:t>
      </w:r>
      <w:r>
        <w:rPr>
          <w:rFonts w:ascii="Times New Roman" w:eastAsia="Times New Roman" w:hAnsi="Times New Roman" w:cs="Times New Roman"/>
          <w:sz w:val="28"/>
          <w:szCs w:val="28"/>
        </w:rPr>
        <w:t>qual é a história de todos esses povos senão a história da exploração mais implacável e cruel do imperialismo em todo mundo?”</w:t>
      </w:r>
    </w:p>
    <w:p w14:paraId="00000011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Quando Cuba ingressou no MNA, em 1961, sua política externa estava em um estágio de definição estratégica. O compromisso de Cuba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om o Terceiro Mundo tornou-se um pilar de sua estratégia internacionalista, seja através do Movimento dos Não-Alinhados ou da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Conferência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Tricontinental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ou ainda da posterior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Organização de Solidariedade com os Povos de Ásia, África e América Latina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(OSPAAAL). Nas décadas seguintes, muitos dos movimentos de libertação nacional que se encontraram em Havana em janeiro de 1966, durante a primeira conferência da OSPAAAL</w:t>
      </w:r>
      <w:r>
        <w:rPr>
          <w:rFonts w:ascii="Times New Roman" w:eastAsia="Times New Roman" w:hAnsi="Times New Roman" w:cs="Times New Roman"/>
          <w:sz w:val="28"/>
          <w:szCs w:val="28"/>
        </w:rPr>
        <w:t>, estariam no governo de novos estados que passaram a participar no Movimento dos Não-Alinhados, tornando-se este o novo paradigma do Terceiro Mundo.</w:t>
      </w:r>
    </w:p>
    <w:p w14:paraId="00000012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Comprometidos com nossos próprios princípios de não-alinhamento</w:t>
      </w:r>
    </w:p>
    <w:p w14:paraId="00000013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reunião de fundação do Movimento dos Nã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o-Alinhados na Belgrado socialista (então capital da Iugoslávia) em 1961, Osvaldo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Dorticós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Torrado, então presidente de Cuba, afirmou que o não-alinhamento “não significa que não somos países comprometidos. Estamos comprometidos com nossos próprios princíp</w:t>
      </w:r>
      <w:r>
        <w:rPr>
          <w:rFonts w:ascii="Times New Roman" w:eastAsia="Times New Roman" w:hAnsi="Times New Roman" w:cs="Times New Roman"/>
          <w:sz w:val="28"/>
          <w:szCs w:val="28"/>
        </w:rPr>
        <w:t>ios. E aqueles de nós que são amantes da paz, que lutam para afirmar sua soberania e alcançar a plenitude do desenvolvimento nacional, estão, finalmente, comprometidos em responder a essas aspirações transcendentes e não trair esses princípios”. Numa época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em que muitos criticavam o aparente “alinhamento” de Cuba com a União Soviética e atacavam a premissa de que a libertação nacional estava vinculada a um projeto socialista,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Dorticós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em seu discurso de abertura, durante a reunião de fundação do MNA, procu</w:t>
      </w:r>
      <w:r>
        <w:rPr>
          <w:rFonts w:ascii="Times New Roman" w:eastAsia="Times New Roman" w:hAnsi="Times New Roman" w:cs="Times New Roman"/>
          <w:sz w:val="28"/>
          <w:szCs w:val="28"/>
        </w:rPr>
        <w:t>rou definir melhor o não alinhamento, afirmando que o momento exigia “mais do que formulações gerais, [e que] problemas concretos devem ser considerados”.</w:t>
      </w:r>
    </w:p>
    <w:p w14:paraId="00000014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Essa definição ativa do não-alinhamento tem sido importante para a política externa de Cuba em sua 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lação com as forças mais progressistas do Terceiro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Mundo. O pensamento do Movimento dos Não Alinhados, a partir de 1973, parece ter abandonado as ideias de “neutralidade” que permeavam o movimento desde sua criação e expandido suas atividades para as relaç</w:t>
      </w:r>
      <w:r>
        <w:rPr>
          <w:rFonts w:ascii="Times New Roman" w:eastAsia="Times New Roman" w:hAnsi="Times New Roman" w:cs="Times New Roman"/>
          <w:sz w:val="28"/>
          <w:szCs w:val="28"/>
        </w:rPr>
        <w:t>ões econômicas internacionais com muito mais força do que em seu período anterior, em defesa da necessidade de uma nova ordem econômica internacional.</w:t>
      </w:r>
    </w:p>
    <w:p w14:paraId="00000015" w14:textId="77777777" w:rsidR="00E92F0D" w:rsidRDefault="00070924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Desde a queda da URSS e a ascensão dos Estados Unidos a uma posição de quase primazia, o MNA teve problem</w:t>
      </w:r>
      <w:r>
        <w:rPr>
          <w:rFonts w:ascii="Times New Roman" w:eastAsia="Times New Roman" w:hAnsi="Times New Roman" w:cs="Times New Roman"/>
          <w:sz w:val="28"/>
          <w:szCs w:val="28"/>
        </w:rPr>
        <w:t>as para se adaptar às novas realidades e ficou à deriva. Nos últimos anos, no entanto, com o ressurgimento do regionalismo na América Latina e com o surgimento da integração eurasiana, a importância do não-alinhamento e do MNA está gradualmente sendo recon</w:t>
      </w:r>
      <w:r>
        <w:rPr>
          <w:rFonts w:ascii="Times New Roman" w:eastAsia="Times New Roman" w:hAnsi="Times New Roman" w:cs="Times New Roman"/>
          <w:sz w:val="28"/>
          <w:szCs w:val="28"/>
        </w:rPr>
        <w:t>siderada. Povos de todo o mundo resistem às táticas de coerção adotadas pelos Estados Unidos, que vêm tentando isolar os países que não se submetem à vontade de Washington. Isso ficou especialmente claro com a Cúpula das Américas da Organização dos Estados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Americanos de junho de 2022, onde países como Bolívia e México ameaçaram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boicotar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cúpula em Los Angeles se Cuba, Nicarágua e Venezuela forem proibidas de participar. Como alternativa, a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Cúpula dos Povos pela Democracia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leva adiante o legado de Bandung e Havana, reunindo as vozes dos excluídos.</w:t>
      </w:r>
    </w:p>
    <w:sectPr w:rsidR="00E92F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0D"/>
    <w:rsid w:val="00070924"/>
    <w:rsid w:val="006764F9"/>
    <w:rsid w:val="00E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66410-91AC-4FDD-B0C1-8D1EE93E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sforum.org/" TargetMode="External"/><Relationship Id="rId13" Type="http://schemas.openxmlformats.org/officeDocument/2006/relationships/hyperlink" Target="https://www.globallearning-cuba.com/blog-umlthe-view-from-the-southuml/the-third-world-project-1948-79" TargetMode="External"/><Relationship Id="rId18" Type="http://schemas.openxmlformats.org/officeDocument/2006/relationships/hyperlink" Target="https://tinyurl.com/yu36wvw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snews.com/news/politics/articles/2022-05-21/biden-risks-troubled-americas-summit-in-los-angeles" TargetMode="External"/><Relationship Id="rId7" Type="http://schemas.openxmlformats.org/officeDocument/2006/relationships/hyperlink" Target="https://revistaopera.com.br/" TargetMode="External"/><Relationship Id="rId12" Type="http://schemas.openxmlformats.org/officeDocument/2006/relationships/hyperlink" Target="https://peoplessummit2022.org/" TargetMode="External"/><Relationship Id="rId17" Type="http://schemas.openxmlformats.org/officeDocument/2006/relationships/hyperlink" Target="https://www.e-ir.info/2020/12/19/cuban-cold-war-internationalism-and-the-nonaligned-move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dwesternmarx.com/articles/the-blockade-against-cuba-turns-60-by-rosa-miriam-elizalde" TargetMode="External"/><Relationship Id="rId20" Type="http://schemas.openxmlformats.org/officeDocument/2006/relationships/hyperlink" Target="https://thetricontinental.org/newsletterissue/homage-to-ospaaal-the-organisation-of-solidarity-for-the-peoples-of-asia-africa-and-latin-america-newsletter-thirty-one-201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lobetrotter.media/" TargetMode="External"/><Relationship Id="rId11" Type="http://schemas.openxmlformats.org/officeDocument/2006/relationships/hyperlink" Target="https://1804books.com/products/comrade-of-the-revolution-selected-speeches-of-fidel-castr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orningstaronline.co.uk/" TargetMode="External"/><Relationship Id="rId15" Type="http://schemas.openxmlformats.org/officeDocument/2006/relationships/hyperlink" Target="https://mondediplo.com/2020/05/13o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804books.com/products/viviremos-venezuela-vs-hybrid-war" TargetMode="External"/><Relationship Id="rId19" Type="http://schemas.openxmlformats.org/officeDocument/2006/relationships/hyperlink" Target="https://thetricontinental.org/our-his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tricontinental.org/pt-pt/" TargetMode="External"/><Relationship Id="rId14" Type="http://schemas.openxmlformats.org/officeDocument/2006/relationships/hyperlink" Target="https://www.globallearning-cuba.com/blog-umlthe-view-from-the-southuml/the-third-world-project-1948-79" TargetMode="External"/><Relationship Id="rId22" Type="http://schemas.openxmlformats.org/officeDocument/2006/relationships/hyperlink" Target="https://www.usnews.com/news/politics/articles/2022-05-21/biden-risks-troubled-americas-summit-in-los-ange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/TpAWRqaF2YOdR0MHj2t+zZPUA==">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2022-06-17T15:03:00Z</dcterms:created>
  <dcterms:modified xsi:type="dcterms:W3CDTF">2022-06-17T15:03:00Z</dcterms:modified>
</cp:coreProperties>
</file>