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Manchete: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globalização liderada pelo Ocidente pode terminar, mas uma nova globalização pode ter uma face oriental</w:t>
      </w:r>
    </w:p>
    <w:p w14:paraId="00000002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Por Vijay Prashad e E. Ahmet Tonak</w:t>
      </w:r>
    </w:p>
    <w:p w14:paraId="00000003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Biografias dos autores: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Este artigo foi produzido pela 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Globetrotter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e traduzido por Pedro Marin para a </w:t>
      </w:r>
      <w:hyperlink r:id="rId6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Revista Opera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04" w14:textId="77777777" w:rsidR="00F3669D" w:rsidRDefault="00A17F3E">
      <w:pPr>
        <w:spacing w:before="200" w:after="20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E. Ahmet Tonak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é um economista que trabalha no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Instituto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Tricontinental de Pesquisa Socia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Ele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é co-editor ou autor de vários livros, incluindo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Marxismo e Classes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From Right to the City to the Uprising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e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Turkey in Transition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5" w14:textId="77777777" w:rsidR="00F3669D" w:rsidRDefault="00A17F3E">
      <w:pPr>
        <w:spacing w:before="200" w:after="20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Vijay Prashad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é um historiador, editor e jornalista indiano. Ele é um escritor parceiro e correspondente-chefe do Globetro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tter. É editor-chefe da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LeftWord Books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diretor do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Instituto Tricontinental de Pesquisa Social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Ele é membro sênior não-residente do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Instituto Chongyang de Estudos Financeiros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da Universidade Renmin da China. Autor de mais de 20 livros, incluindo </w:t>
      </w:r>
      <w:hyperlink r:id="rId12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The Darker Nations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</w:t>
      </w:r>
      <w:hyperlink r:id="rId13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The Poorer Nations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Seu último livro é </w:t>
      </w:r>
      <w:hyperlink r:id="rId14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u w:val="single"/>
          </w:rPr>
          <w:t>Balas de Washington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com prefácio de Evo Morales Ayma.</w:t>
      </w:r>
    </w:p>
    <w:p w14:paraId="00000006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Globetrotter</w:t>
      </w:r>
    </w:p>
    <w:p w14:paraId="00000007" w14:textId="77777777" w:rsidR="00F3669D" w:rsidRDefault="00A17F3E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Rótulos: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Economia, C</w:t>
      </w:r>
      <w:r>
        <w:rPr>
          <w:rFonts w:ascii="Times New Roman" w:eastAsia="Times New Roman" w:hAnsi="Times New Roman" w:cs="Times New Roman"/>
          <w:sz w:val="28"/>
          <w:szCs w:val="28"/>
        </w:rPr>
        <w:t>omércio, Guerra, Mídia, Política, Direitos humanos, Alimentação, Ásia/China, Europa/Rússia, Europa/Ucrânia, América do Norte/Estados Unidos, Oceania/Austrália, Ásia/Índia, Ásia/Japão, Europa, Ásia, África, América do Sul, América Central, Europa/Suíça, Ási</w:t>
      </w:r>
      <w:r>
        <w:rPr>
          <w:rFonts w:ascii="Times New Roman" w:eastAsia="Times New Roman" w:hAnsi="Times New Roman" w:cs="Times New Roman"/>
          <w:sz w:val="28"/>
          <w:szCs w:val="28"/>
        </w:rPr>
        <w:t>a/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Vietnã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Ásia/Coreia do Sul, Ásia/Mianmar, Ásia/Paquistão, Ásia/Sri Lanka, Europa/Bélgica, Opinião,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Curto prazo</w:t>
      </w:r>
    </w:p>
    <w:p w14:paraId="00000008" w14:textId="77777777" w:rsidR="00F3669D" w:rsidRDefault="00F3669D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[Corpo do artigo:]</w:t>
      </w:r>
    </w:p>
    <w:p w14:paraId="0000000A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Um artigo escrito pelos autores John Micklethwait e Adrian Wooldridge para a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Bloomberg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em 24 de março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soou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o alarme para anunciar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 fim da “segunda grande era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da globalização”. A guerra comercial ocidental e as sanções contra a China que antecederam a pandemia agora se juntaram às duras sanções ocidentais impostas contra a Rússia depois que ela invadiu a Ucrânia. Essas sanções são como uma cortina de ferro send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construída pelos Estados Unidos e seus aliados ao redor da Eurásia. Mas, de acordo com Micklethwait e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Wooldridge, essa cortina de ferro não descerá apenas em torno da China e da Rússia, mas terá também consequências de longo alcance em todo o mundo.</w:t>
      </w:r>
    </w:p>
    <w:p w14:paraId="0000000B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Au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strália e muitos países da Ásia, incluindo Índia e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Japão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– que são aliados confiáveis dos Estados Unidos – não estão dispostos a romper seus laços econômicos e políticos com a Chin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e a Rússia. Os 38 países que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não votaram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na reunião da Assembleia Geral das 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ações Unidas em 24 de março para condenar a guerra da Rússia na Ucrânia incluíram China e Índia; ambos os países “representam a maioria da população mundial”,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observam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Micklethwait e Wooldridge em seu artigo da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Bloomberg</w:t>
      </w:r>
      <w:r>
        <w:rPr>
          <w:rFonts w:ascii="Times New Roman" w:eastAsia="Times New Roman" w:hAnsi="Times New Roman" w:cs="Times New Roman"/>
          <w:sz w:val="28"/>
          <w:szCs w:val="28"/>
        </w:rPr>
        <w:t>. Se o mundo se bifurcar, “a segunda grande era da globalização… [chegará] a um fim catastrófico”, afirma o artigo.</w:t>
      </w:r>
    </w:p>
    <w:p w14:paraId="0000000C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Em 2000, Micklethwait e Wooldridge publicaram o manual sobre essa onda de glob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alização chamado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 Future Perfect: The Challenge and Promise of Globalization</w:t>
      </w:r>
      <w:r>
        <w:rPr>
          <w:rFonts w:ascii="Times New Roman" w:eastAsia="Times New Roman" w:hAnsi="Times New Roman" w:cs="Times New Roman"/>
          <w:sz w:val="28"/>
          <w:szCs w:val="28"/>
        </w:rPr>
        <w:t>. Esse livro aplaudiu a liberalização do comércio e das finanças, embora seus autores reconhecessem que, nessa sociedade de livre mercado que eles defendiam, “os empresários são 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beneficiários mais óbvios”. As desigualdades geradas pela globalização seriam diminuídas, eles sugeriram, pelas maiores escolhas oferecidas aos consumidores (embora, com o aumento da desigualdade social durante os anos 2000, os consumidores simplesmente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não tivessem dinheiro para exercer suas escolhas). Quando Micklethwait e Wooldridge escreveram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 Future Perfect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ambos trabalhavam para a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Economist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que tem sido uma das líderes de torcida da globalização de formato ocidental. Tanto Micklethwait quanto Wooldridge estão agora na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Bloomberg</w:t>
      </w:r>
      <w:r>
        <w:rPr>
          <w:rFonts w:ascii="Times New Roman" w:eastAsia="Times New Roman" w:hAnsi="Times New Roman" w:cs="Times New Roman"/>
          <w:sz w:val="28"/>
          <w:szCs w:val="28"/>
        </w:rPr>
        <w:t>, outra voz significativa das elites empresariais.</w:t>
      </w:r>
    </w:p>
    <w:p w14:paraId="0000000D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Em artigo para o Fundo Monetário Internacional, Kenneth Rogoff,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professor da Universidade de Harvard,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alerta para o risco de desglobalização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Tal desdobramento, observa ele, “certamente seria um enorme choque negativo para a economia mundial”. Rogoff, como Micklethwait e Wooldridge, usa a palavr</w:t>
      </w:r>
      <w:r>
        <w:rPr>
          <w:rFonts w:ascii="Times New Roman" w:eastAsia="Times New Roman" w:hAnsi="Times New Roman" w:cs="Times New Roman"/>
          <w:sz w:val="28"/>
          <w:szCs w:val="28"/>
        </w:rPr>
        <w:t>a “catastrófico” para descrever o impacto da desglobalização. Ao contrário de Micklethwait e Wooldridge, no entanto, o artigo de Rogoff parece implicar que a desglobalização é produto da guerra da Rússia contra a Ucrânia e que pode ser “temporária”. A Rúss</w:t>
      </w:r>
      <w:r>
        <w:rPr>
          <w:rFonts w:ascii="Times New Roman" w:eastAsia="Times New Roman" w:hAnsi="Times New Roman" w:cs="Times New Roman"/>
          <w:sz w:val="28"/>
          <w:szCs w:val="28"/>
        </w:rPr>
        <w:t>ia, afirma ele, “parece que ficará isolada por um longo período”. Em seu artigo, Rogoff não se aprofunda muito nas preocupações sobre o que isso significa para as pessoas em muitas partes do mundo (como Ásia Central e Europa). “O verdadeiro golpe para a gl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obalização”, ele se preocupa, “acontecerá se o comércio entre as economias avançadas e a China também cair”. Se isso acontecer, a desglobalização não será temporária, já que países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como China e Rússia buscarão outros caminhos para o comércio e o desenvolvi</w:t>
      </w:r>
      <w:r>
        <w:rPr>
          <w:rFonts w:ascii="Times New Roman" w:eastAsia="Times New Roman" w:hAnsi="Times New Roman" w:cs="Times New Roman"/>
          <w:sz w:val="28"/>
          <w:szCs w:val="28"/>
        </w:rPr>
        <w:t>mento.</w:t>
      </w:r>
    </w:p>
    <w:p w14:paraId="0000000E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Histórias mais longas</w:t>
      </w:r>
    </w:p>
    <w:p w14:paraId="0000000F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Nenhum desses escritores reconhece nesses artigos recentes que a desglobalização, que é um recuo da globalização projetada pelo Ocidente, não começou durante a pandemia ou durante a guerra russa na Ucrânia. Este processo tem su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as origens na Grande Recessão de 2007-2009. Com a vacilação das economias ocidentais, tanto a China quanto a Rússia, assim como outras grandes potências econômicas, começaram a buscar formas alternativas de globalização. A Iniciativa do Cinturão e Rota da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China (BRI), anunciada em 2013, é um sinal dessa mudança gradual, com a China desenvolvendo suas próprias ligações primeiro na Ásia Central e do Sul e depois além da Ásia e em direção à África, Europa e América Latina. É revelador que o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Fórum Econômico Internacional de São Petersburgo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um evento isolado fundado em 1997, tornou-se um ponto de encontro para líderes político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e empresariais asiáticos e europeus que consideram esse encontro muito mais significativo do que a reunião anual do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Fórum Econômico Mundial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(WEF) realizada em Davos, Suíça.</w:t>
      </w:r>
    </w:p>
    <w:p w14:paraId="00000010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Após a Grande Recessão, países como a China começaram a desdolarizar suas reservas monetárias. Eles passaram de uma reserva em grande parte baseada em dólares para uma mais diversificada. É esse movi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mento em direção à diversificação que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levou à queda da participação do dólar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nas reservas globais de moeda de 70% em 2000 para 59% em 2020. Segundo o autor Tony Norfield, a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participação de dólares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nas reservas cambiais russas foi de 23,6% em 2019 e caiu para 10,9% até 2021. Privado de dólares devido às sanções impostas pelo Ocidente, o Banco Central da Rússia tentou várias manobras para desdolarizar também suas reservas monetárias, inclusive ancora</w:t>
      </w:r>
      <w:r>
        <w:rPr>
          <w:rFonts w:ascii="Times New Roman" w:eastAsia="Times New Roman" w:hAnsi="Times New Roman" w:cs="Times New Roman"/>
          <w:sz w:val="28"/>
          <w:szCs w:val="28"/>
        </w:rPr>
        <w:t>ndo o rublo ao ouro, impedindo a fluxo de saída de dólares e exigindo que seus compradores de combustível e alimentos paguem em rublos e não em dólares.</w:t>
      </w:r>
    </w:p>
    <w:p w14:paraId="00000011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À medida que os Estados Unidos ampliam sua rede de sanções contra cada vez mais países, esses países – </w:t>
      </w:r>
      <w:r>
        <w:rPr>
          <w:rFonts w:ascii="Times New Roman" w:eastAsia="Times New Roman" w:hAnsi="Times New Roman" w:cs="Times New Roman"/>
          <w:sz w:val="28"/>
          <w:szCs w:val="28"/>
        </w:rPr>
        <w:t>como China e Rússia – procuram construir mecanismos comerciais que não dependam mais das instituições ocidentais.</w:t>
      </w:r>
    </w:p>
    <w:p w14:paraId="00000012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desglobalização leva a uma globalização diferente</w:t>
      </w:r>
    </w:p>
    <w:p w14:paraId="00000013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Em 1º de janeiro de 2022, a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Parceria Econômica Abran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gente Regional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(RCEP) – o maior pacto de livre comércio do mundo – entrou em vigor. Há dois anos, 15 países se reuniram virtualmente em Hanói, no Vietnã, para assina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este tratado. Esses países incluem aliados próximos dos Estados Unidos, como Austrália, Japão e Coreia do Sul, além de países que enfrentam sanções dos EUA, como China e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Mianmar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Um terço da humanidad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está incluído no RCEP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que responde por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um terço do produto interno bruto global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O Banco Asiático de Desenvolvimento 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espera que o RCEP forneça um a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lívio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aos países que lutam para emergir do impacto econômico negativo da pandemia.</w:t>
      </w:r>
    </w:p>
    <w:p w14:paraId="00000014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Bloco</w:t>
      </w:r>
      <w:r>
        <w:rPr>
          <w:rFonts w:ascii="Times New Roman" w:eastAsia="Times New Roman" w:hAnsi="Times New Roman" w:cs="Times New Roman"/>
          <w:sz w:val="28"/>
          <w:szCs w:val="28"/>
        </w:rPr>
        <w:t>s como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 RCEP e projetos como a Iniciativa Cinturão e Rota (BRI) não são contrários à internacionalização do comércio e do desenvolvimento. Economistas da HKUST Business School em Hong Kong 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mostram que a BRI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“aumenta significativamente os fluxos comerciais bilaterais entre os países da BRI”. As compras da China dos países da BRI aumentaram, embora muito disso seja no domínio de energ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ia e minerais, e não em bens de alto valor; as exportações da China para os países da BRI, por outro lado, permanecem estáveis. O Banco Asiático de Desenvolvimento 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estima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o projeto BRI exigiria 1,7 trilhão de dólares anualmente para o desenvolvimento de infraestrutura na Ásia, incluindo investimentos r</w:t>
      </w:r>
      <w:r>
        <w:rPr>
          <w:rFonts w:ascii="Times New Roman" w:eastAsia="Times New Roman" w:hAnsi="Times New Roman" w:cs="Times New Roman"/>
          <w:sz w:val="28"/>
          <w:szCs w:val="28"/>
        </w:rPr>
        <w:t>elacionados ao clima.</w:t>
      </w:r>
    </w:p>
    <w:p w14:paraId="00000015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pandemia certamente </w:t>
      </w:r>
      <w:hyperlink r:id="rId3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paralisou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 progresso do projeto BRI, com 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problemas de endividamento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afetando vários países devido ao uso abaixo da capacidade de sua infraestrutura financiada pelo BRI. As crises econômicas e políticas no 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Paquistão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no </w:t>
      </w:r>
      <w:hyperlink r:id="rId3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Sri Lanka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estão parcialmente relacionadas à desaceleração global do comércio. Esses países são parte integrante do projeto BRI. O aumento dos preços dos alimentos e dos combustíveis devido à guerra na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Ucrânia </w:t>
      </w:r>
      <w:hyperlink r:id="rId3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complicará ainda mais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as coisas para os países do Sul Global.</w:t>
      </w:r>
    </w:p>
    <w:p w14:paraId="00000016" w14:textId="77777777" w:rsidR="00F3669D" w:rsidRDefault="00A17F3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 apetite em muitas partes do mundo já aumentou por uma alternativa à globalização de formato ocidental, mas isso não significa necessariamente desglobalização. Pode significar uma plataforma de g</w:t>
      </w:r>
      <w:r>
        <w:rPr>
          <w:rFonts w:ascii="Times New Roman" w:eastAsia="Times New Roman" w:hAnsi="Times New Roman" w:cs="Times New Roman"/>
          <w:sz w:val="28"/>
          <w:szCs w:val="28"/>
        </w:rPr>
        <w:t>lobalização que já não tem seu epicentro localizado em Washington ou Bruxelas.</w:t>
      </w:r>
    </w:p>
    <w:sectPr w:rsidR="00F3669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69D"/>
    <w:rsid w:val="00A17F3E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5944DB-6BF7-40BD-8E44-69A69D05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ile.amazon.com/Poorer-Nations-Possible-History-Global/dp/1781681589/?tag=alternorg08-20" TargetMode="External"/><Relationship Id="rId18" Type="http://schemas.openxmlformats.org/officeDocument/2006/relationships/hyperlink" Target="https://www.bloomberg.com/opinion/articles/2022-03-24/ukraine-war-has-russia-s-putin-xi-jinping-exposing-capitalism-s-great-illusion" TargetMode="External"/><Relationship Id="rId26" Type="http://schemas.openxmlformats.org/officeDocument/2006/relationships/hyperlink" Target="https://www.dw.com/en/rcep-asia-readies-worlds-largest-trade-deal/a-60267980" TargetMode="External"/><Relationship Id="rId21" Type="http://schemas.openxmlformats.org/officeDocument/2006/relationships/hyperlink" Target="https://www.weforum.org/" TargetMode="External"/><Relationship Id="rId34" Type="http://schemas.openxmlformats.org/officeDocument/2006/relationships/hyperlink" Target="https://www.bloomberg.com/news/articles/2022-04-04/how-sri-lanka-landed-in-a-crisis-and-what-it-means-quicktake" TargetMode="External"/><Relationship Id="rId7" Type="http://schemas.openxmlformats.org/officeDocument/2006/relationships/hyperlink" Target="https://thetricontinental.org/pt-pt/" TargetMode="External"/><Relationship Id="rId12" Type="http://schemas.openxmlformats.org/officeDocument/2006/relationships/hyperlink" Target="https://smile.amazon.com/Darker-Nations-Peoples-History-Third/dp/1595583424/?tag=alternorg08-20" TargetMode="External"/><Relationship Id="rId17" Type="http://schemas.openxmlformats.org/officeDocument/2006/relationships/hyperlink" Target="https://news.un.org/en/story/2022/03/1114632" TargetMode="External"/><Relationship Id="rId25" Type="http://schemas.openxmlformats.org/officeDocument/2006/relationships/hyperlink" Target="https://www.bloomberg.com/news/articles/2022-01-31/u-s-to-issue-fresh-sanctions-on-myanmar-one-year-after-coup" TargetMode="External"/><Relationship Id="rId33" Type="http://schemas.openxmlformats.org/officeDocument/2006/relationships/hyperlink" Target="https://www.aljazeera.com/news/2022/4/10/pakistans-political-crisis-all-you-need-to-kn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oplesdispatch.org/2022/04/05/will-japan-and-russia-tensions-over-contested-pacific-islands-spill-over-into-war/" TargetMode="External"/><Relationship Id="rId20" Type="http://schemas.openxmlformats.org/officeDocument/2006/relationships/hyperlink" Target="https://forumspb.com/en/" TargetMode="External"/><Relationship Id="rId29" Type="http://schemas.openxmlformats.org/officeDocument/2006/relationships/hyperlink" Target="https://www.scmp.com/presented/business/topics/international-trade/article/3140259/chinas-belt-and-road-initiativ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vistaopera.com.br/" TargetMode="External"/><Relationship Id="rId11" Type="http://schemas.openxmlformats.org/officeDocument/2006/relationships/hyperlink" Target="https://tinyurl.com/y2hdjcpo" TargetMode="External"/><Relationship Id="rId24" Type="http://schemas.openxmlformats.org/officeDocument/2006/relationships/hyperlink" Target="https://rcepsec.org/" TargetMode="External"/><Relationship Id="rId32" Type="http://schemas.openxmlformats.org/officeDocument/2006/relationships/hyperlink" Target="https://link.springer.com/article/10.1057/s42214-020-00063-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globetrotter.media/" TargetMode="External"/><Relationship Id="rId15" Type="http://schemas.openxmlformats.org/officeDocument/2006/relationships/hyperlink" Target="https://www.bloomberg.com/opinion/articles/2022-03-24/ukraine-war-has-russia-s-putin-xi-jinping-exposing-capitalism-s-great-illusion" TargetMode="External"/><Relationship Id="rId23" Type="http://schemas.openxmlformats.org/officeDocument/2006/relationships/hyperlink" Target="https://twitter.com/StubbornFacts/status/1513951652788817930" TargetMode="External"/><Relationship Id="rId28" Type="http://schemas.openxmlformats.org/officeDocument/2006/relationships/hyperlink" Target="https://blogs.adb.org/blog/three-areas-where-rcep-may-help-region-s-post-pandemic-recover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hetricontinental.org/pt-pt/" TargetMode="External"/><Relationship Id="rId19" Type="http://schemas.openxmlformats.org/officeDocument/2006/relationships/hyperlink" Target="https://www.imf.org/en/Publications/fandd/issues/2022/03/the-long-lasting-economic-shock-of-war" TargetMode="External"/><Relationship Id="rId31" Type="http://schemas.openxmlformats.org/officeDocument/2006/relationships/hyperlink" Target="https://connections-qj.org/article/implications-covid-19-pandemic-chinas-belt-and-road-initia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yday.leftword.com/" TargetMode="External"/><Relationship Id="rId14" Type="http://schemas.openxmlformats.org/officeDocument/2006/relationships/hyperlink" Target="https://mayday.leftword.com/catalog/product/view/id/21820" TargetMode="External"/><Relationship Id="rId22" Type="http://schemas.openxmlformats.org/officeDocument/2006/relationships/hyperlink" Target="https://blogs.imf.org/2021/05/05/us-dollar-share-of-global-foreign-exchange-reserves-drops-to-25-year-low/" TargetMode="External"/><Relationship Id="rId27" Type="http://schemas.openxmlformats.org/officeDocument/2006/relationships/hyperlink" Target="https://www.investopedia.com/terms/r/regional-comprehensive-economic-partnership-rcep.asp" TargetMode="External"/><Relationship Id="rId30" Type="http://schemas.openxmlformats.org/officeDocument/2006/relationships/hyperlink" Target="https://www.adb.org/publications/asia-infrastructure-needs" TargetMode="External"/><Relationship Id="rId35" Type="http://schemas.openxmlformats.org/officeDocument/2006/relationships/hyperlink" Target="https://reliefweb.int/report/world/ukraine-war-exacerbates-famine-global-south" TargetMode="External"/><Relationship Id="rId8" Type="http://schemas.openxmlformats.org/officeDocument/2006/relationships/hyperlink" Target="https://thetricontinental.org/pt-pt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XafL2emT9n8HcqEP6lOB7f9kQ==">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1753</Words>
  <Characters>9997</Characters>
  <Application>Microsoft Office Word</Application>
  <DocSecurity>0</DocSecurity>
  <Lines>83</Lines>
  <Paragraphs>23</Paragraphs>
  <ScaleCrop>false</ScaleCrop>
  <Company/>
  <LinksUpToDate>false</LinksUpToDate>
  <CharactersWithSpaces>11727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2022-06-16T20:49:00Z</dcterms:created>
  <dcterms:modified xsi:type="dcterms:W3CDTF">2022-06-16T20:49:00Z</dcterms:modified>
</cp:coreProperties>
</file>