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b/>
          <w:sz w:val="28"/>
          <w:szCs w:val="28"/>
        </w:rPr>
        <w:t>Headline:</w:t>
      </w:r>
      <w:r w:rsidRPr="001B05D6">
        <w:rPr>
          <w:rFonts w:ascii="Times New Roman" w:eastAsia="Times New Roman" w:hAnsi="Times New Roman" w:cs="Times New Roman"/>
          <w:sz w:val="28"/>
          <w:szCs w:val="28"/>
        </w:rPr>
        <w:t xml:space="preserve"> Why America’s Economic War on China Is Failing</w:t>
      </w:r>
    </w:p>
    <w:p w14:paraId="00000002" w14:textId="77777777" w:rsidR="00573FD7" w:rsidRPr="001B05D6" w:rsidRDefault="001B05D6">
      <w:pPr>
        <w:widowControl w:val="0"/>
        <w:spacing w:before="200" w:after="200"/>
        <w:rPr>
          <w:rFonts w:ascii="Times New Roman" w:eastAsia="Times New Roman" w:hAnsi="Times New Roman" w:cs="Times New Roman"/>
          <w:sz w:val="28"/>
          <w:szCs w:val="28"/>
          <w:highlight w:val="white"/>
        </w:rPr>
      </w:pPr>
      <w:r w:rsidRPr="001B05D6">
        <w:rPr>
          <w:rFonts w:ascii="Times New Roman" w:eastAsia="Times New Roman" w:hAnsi="Times New Roman" w:cs="Times New Roman"/>
          <w:sz w:val="28"/>
          <w:szCs w:val="28"/>
          <w:highlight w:val="white"/>
        </w:rPr>
        <w:t>By Vijay Prashad and John Ross</w:t>
      </w:r>
    </w:p>
    <w:p w14:paraId="00000003" w14:textId="77777777" w:rsidR="00573FD7" w:rsidRPr="001B05D6" w:rsidRDefault="001B05D6">
      <w:pPr>
        <w:widowControl w:val="0"/>
        <w:spacing w:before="200" w:after="200"/>
        <w:rPr>
          <w:rFonts w:ascii="Times New Roman" w:eastAsia="Times New Roman" w:hAnsi="Times New Roman" w:cs="Times New Roman"/>
          <w:sz w:val="28"/>
          <w:szCs w:val="28"/>
          <w:highlight w:val="white"/>
        </w:rPr>
      </w:pPr>
      <w:r w:rsidRPr="001B05D6">
        <w:rPr>
          <w:rFonts w:ascii="Times New Roman" w:eastAsia="Times New Roman" w:hAnsi="Times New Roman" w:cs="Times New Roman"/>
          <w:b/>
          <w:sz w:val="28"/>
          <w:szCs w:val="28"/>
          <w:highlight w:val="white"/>
        </w:rPr>
        <w:t>Author Bios:</w:t>
      </w:r>
    </w:p>
    <w:p w14:paraId="00000004" w14:textId="77777777" w:rsidR="00573FD7" w:rsidRPr="001B05D6" w:rsidRDefault="001B05D6">
      <w:pPr>
        <w:widowControl w:val="0"/>
        <w:spacing w:before="200" w:after="200"/>
        <w:ind w:left="720"/>
        <w:rPr>
          <w:rFonts w:ascii="Times New Roman" w:eastAsia="Times New Roman" w:hAnsi="Times New Roman" w:cs="Times New Roman"/>
          <w:i/>
          <w:sz w:val="28"/>
          <w:szCs w:val="28"/>
          <w:highlight w:val="white"/>
        </w:rPr>
      </w:pPr>
      <w:r w:rsidRPr="001B05D6">
        <w:rPr>
          <w:rFonts w:ascii="Times New Roman" w:eastAsia="Times New Roman" w:hAnsi="Times New Roman" w:cs="Times New Roman"/>
          <w:i/>
          <w:sz w:val="28"/>
          <w:szCs w:val="28"/>
          <w:highlight w:val="white"/>
        </w:rPr>
        <w:t xml:space="preserve">This article was produced by </w:t>
      </w:r>
      <w:hyperlink r:id="rId4">
        <w:r w:rsidRPr="001B05D6">
          <w:rPr>
            <w:rFonts w:ascii="Times New Roman" w:eastAsia="Times New Roman" w:hAnsi="Times New Roman" w:cs="Times New Roman"/>
            <w:i/>
            <w:color w:val="1155CC"/>
            <w:sz w:val="28"/>
            <w:szCs w:val="28"/>
            <w:highlight w:val="white"/>
            <w:u w:val="single"/>
          </w:rPr>
          <w:t>Globetrotter</w:t>
        </w:r>
      </w:hyperlink>
      <w:r w:rsidRPr="001B05D6">
        <w:rPr>
          <w:rFonts w:ascii="Times New Roman" w:eastAsia="Times New Roman" w:hAnsi="Times New Roman" w:cs="Times New Roman"/>
          <w:i/>
          <w:sz w:val="28"/>
          <w:szCs w:val="28"/>
          <w:highlight w:val="white"/>
        </w:rPr>
        <w:t>.</w:t>
      </w:r>
    </w:p>
    <w:p w14:paraId="00000005" w14:textId="77777777" w:rsidR="00573FD7" w:rsidRPr="001B05D6" w:rsidRDefault="001B05D6">
      <w:pPr>
        <w:widowControl w:val="0"/>
        <w:spacing w:before="200" w:after="200"/>
        <w:ind w:left="720"/>
        <w:rPr>
          <w:rFonts w:ascii="Times New Roman" w:eastAsia="Times New Roman" w:hAnsi="Times New Roman" w:cs="Times New Roman"/>
          <w:sz w:val="28"/>
          <w:szCs w:val="28"/>
          <w:highlight w:val="white"/>
        </w:rPr>
      </w:pPr>
      <w:r w:rsidRPr="001B05D6">
        <w:rPr>
          <w:rFonts w:ascii="Times New Roman" w:eastAsia="Times New Roman" w:hAnsi="Times New Roman" w:cs="Times New Roman"/>
          <w:b/>
          <w:sz w:val="28"/>
          <w:szCs w:val="28"/>
          <w:highlight w:val="white"/>
        </w:rPr>
        <w:t>Vijay Prashad</w:t>
      </w:r>
      <w:r w:rsidRPr="001B05D6">
        <w:rPr>
          <w:rFonts w:ascii="Times New Roman" w:eastAsia="Times New Roman" w:hAnsi="Times New Roman" w:cs="Times New Roman"/>
          <w:sz w:val="28"/>
          <w:szCs w:val="28"/>
          <w:highlight w:val="white"/>
        </w:rPr>
        <w:t xml:space="preserve"> is an Indian historian, editor and journalist. He is a writing fellow and chief correspondent at Globetrotter. He is the chief editor of </w:t>
      </w:r>
      <w:hyperlink r:id="rId5">
        <w:r w:rsidRPr="001B05D6">
          <w:rPr>
            <w:rFonts w:ascii="Times New Roman" w:eastAsia="Times New Roman" w:hAnsi="Times New Roman" w:cs="Times New Roman"/>
            <w:color w:val="1155CC"/>
            <w:sz w:val="28"/>
            <w:szCs w:val="28"/>
            <w:highlight w:val="white"/>
            <w:u w:val="single"/>
          </w:rPr>
          <w:t>LeftWord Books</w:t>
        </w:r>
      </w:hyperlink>
      <w:r w:rsidRPr="001B05D6">
        <w:rPr>
          <w:rFonts w:ascii="Times New Roman" w:eastAsia="Times New Roman" w:hAnsi="Times New Roman" w:cs="Times New Roman"/>
          <w:sz w:val="28"/>
          <w:szCs w:val="28"/>
          <w:highlight w:val="white"/>
        </w:rPr>
        <w:t xml:space="preserve"> and the director of </w:t>
      </w:r>
      <w:hyperlink r:id="rId6">
        <w:r w:rsidRPr="001B05D6">
          <w:rPr>
            <w:rFonts w:ascii="Times New Roman" w:eastAsia="Times New Roman" w:hAnsi="Times New Roman" w:cs="Times New Roman"/>
            <w:color w:val="1155CC"/>
            <w:sz w:val="28"/>
            <w:szCs w:val="28"/>
            <w:highlight w:val="white"/>
            <w:u w:val="single"/>
          </w:rPr>
          <w:t>Tricontinental: Institute for Social Research</w:t>
        </w:r>
      </w:hyperlink>
      <w:r w:rsidRPr="001B05D6">
        <w:rPr>
          <w:rFonts w:ascii="Times New Roman" w:eastAsia="Times New Roman" w:hAnsi="Times New Roman" w:cs="Times New Roman"/>
          <w:sz w:val="28"/>
          <w:szCs w:val="28"/>
          <w:highlight w:val="white"/>
        </w:rPr>
        <w:t xml:space="preserve">. He is a senior non-resident fellow at </w:t>
      </w:r>
      <w:hyperlink r:id="rId7">
        <w:r w:rsidRPr="001B05D6">
          <w:rPr>
            <w:rFonts w:ascii="Times New Roman" w:eastAsia="Times New Roman" w:hAnsi="Times New Roman" w:cs="Times New Roman"/>
            <w:color w:val="1155CC"/>
            <w:sz w:val="28"/>
            <w:szCs w:val="28"/>
            <w:highlight w:val="white"/>
            <w:u w:val="single"/>
          </w:rPr>
          <w:t>Chongyang Institute for Financial Studies</w:t>
        </w:r>
      </w:hyperlink>
      <w:r w:rsidRPr="001B05D6">
        <w:rPr>
          <w:rFonts w:ascii="Times New Roman" w:eastAsia="Times New Roman" w:hAnsi="Times New Roman" w:cs="Times New Roman"/>
          <w:sz w:val="28"/>
          <w:szCs w:val="28"/>
          <w:highlight w:val="white"/>
        </w:rPr>
        <w:t xml:space="preserve">, Renmin University of China. He has written more than 20 books, including </w:t>
      </w:r>
      <w:hyperlink r:id="rId8">
        <w:r w:rsidRPr="001B05D6">
          <w:rPr>
            <w:rFonts w:ascii="Times New Roman" w:eastAsia="Times New Roman" w:hAnsi="Times New Roman" w:cs="Times New Roman"/>
            <w:i/>
            <w:color w:val="1155CC"/>
            <w:sz w:val="28"/>
            <w:szCs w:val="28"/>
            <w:highlight w:val="white"/>
            <w:u w:val="single"/>
          </w:rPr>
          <w:t>The Darker Nations</w:t>
        </w:r>
      </w:hyperlink>
      <w:r w:rsidRPr="001B05D6">
        <w:rPr>
          <w:rFonts w:ascii="Times New Roman" w:eastAsia="Times New Roman" w:hAnsi="Times New Roman" w:cs="Times New Roman"/>
          <w:sz w:val="28"/>
          <w:szCs w:val="28"/>
          <w:highlight w:val="white"/>
        </w:rPr>
        <w:t xml:space="preserve"> and </w:t>
      </w:r>
      <w:hyperlink r:id="rId9">
        <w:r w:rsidRPr="001B05D6">
          <w:rPr>
            <w:rFonts w:ascii="Times New Roman" w:eastAsia="Times New Roman" w:hAnsi="Times New Roman" w:cs="Times New Roman"/>
            <w:i/>
            <w:color w:val="1155CC"/>
            <w:sz w:val="28"/>
            <w:szCs w:val="28"/>
            <w:highlight w:val="white"/>
            <w:u w:val="single"/>
          </w:rPr>
          <w:t>The Poorer Nations</w:t>
        </w:r>
      </w:hyperlink>
      <w:r w:rsidRPr="001B05D6">
        <w:rPr>
          <w:rFonts w:ascii="Times New Roman" w:eastAsia="Times New Roman" w:hAnsi="Times New Roman" w:cs="Times New Roman"/>
          <w:sz w:val="28"/>
          <w:szCs w:val="28"/>
          <w:highlight w:val="white"/>
        </w:rPr>
        <w:t xml:space="preserve">. His latest book is </w:t>
      </w:r>
      <w:hyperlink r:id="rId10">
        <w:r w:rsidRPr="001B05D6">
          <w:rPr>
            <w:rFonts w:ascii="Times New Roman" w:eastAsia="Times New Roman" w:hAnsi="Times New Roman" w:cs="Times New Roman"/>
            <w:i/>
            <w:color w:val="1155CC"/>
            <w:sz w:val="28"/>
            <w:szCs w:val="28"/>
            <w:highlight w:val="white"/>
            <w:u w:val="single"/>
          </w:rPr>
          <w:t>Washington Bullets</w:t>
        </w:r>
      </w:hyperlink>
      <w:r w:rsidRPr="001B05D6">
        <w:rPr>
          <w:rFonts w:ascii="Times New Roman" w:eastAsia="Times New Roman" w:hAnsi="Times New Roman" w:cs="Times New Roman"/>
          <w:sz w:val="28"/>
          <w:szCs w:val="28"/>
          <w:highlight w:val="white"/>
        </w:rPr>
        <w:t xml:space="preserve">, with </w:t>
      </w:r>
      <w:r w:rsidRPr="001B05D6">
        <w:rPr>
          <w:rFonts w:ascii="Times New Roman" w:eastAsia="Times New Roman" w:hAnsi="Times New Roman" w:cs="Times New Roman"/>
          <w:sz w:val="28"/>
          <w:szCs w:val="28"/>
          <w:highlight w:val="white"/>
        </w:rPr>
        <w:t>an introduction by Evo Morales Ayma.</w:t>
      </w:r>
    </w:p>
    <w:p w14:paraId="00000006" w14:textId="77777777" w:rsidR="00573FD7" w:rsidRPr="001B05D6" w:rsidRDefault="001B05D6">
      <w:pPr>
        <w:widowControl w:val="0"/>
        <w:spacing w:before="200" w:after="200"/>
        <w:ind w:left="720"/>
        <w:rPr>
          <w:rFonts w:ascii="Times New Roman" w:eastAsia="Times New Roman" w:hAnsi="Times New Roman" w:cs="Times New Roman"/>
          <w:sz w:val="28"/>
          <w:szCs w:val="28"/>
          <w:highlight w:val="white"/>
        </w:rPr>
      </w:pPr>
      <w:r w:rsidRPr="001B05D6">
        <w:rPr>
          <w:rFonts w:ascii="Times New Roman" w:eastAsia="Times New Roman" w:hAnsi="Times New Roman" w:cs="Times New Roman"/>
          <w:b/>
          <w:sz w:val="28"/>
          <w:szCs w:val="28"/>
          <w:highlight w:val="white"/>
        </w:rPr>
        <w:t>John Ross</w:t>
      </w:r>
      <w:r w:rsidRPr="001B05D6">
        <w:rPr>
          <w:rFonts w:ascii="Times New Roman" w:eastAsia="Times New Roman" w:hAnsi="Times New Roman" w:cs="Times New Roman"/>
          <w:sz w:val="28"/>
          <w:szCs w:val="28"/>
          <w:highlight w:val="white"/>
        </w:rPr>
        <w:t xml:space="preserve"> is a senior fellow at </w:t>
      </w:r>
      <w:hyperlink r:id="rId11">
        <w:r w:rsidRPr="001B05D6">
          <w:rPr>
            <w:rFonts w:ascii="Times New Roman" w:eastAsia="Times New Roman" w:hAnsi="Times New Roman" w:cs="Times New Roman"/>
            <w:color w:val="1155CC"/>
            <w:sz w:val="28"/>
            <w:szCs w:val="28"/>
            <w:highlight w:val="white"/>
            <w:u w:val="single"/>
          </w:rPr>
          <w:t>Chongyang Institute for Financial Studies</w:t>
        </w:r>
      </w:hyperlink>
      <w:r w:rsidRPr="001B05D6">
        <w:rPr>
          <w:rFonts w:ascii="Times New Roman" w:eastAsia="Times New Roman" w:hAnsi="Times New Roman" w:cs="Times New Roman"/>
          <w:sz w:val="28"/>
          <w:szCs w:val="28"/>
          <w:highlight w:val="white"/>
        </w:rPr>
        <w:t>, Renmin University of China. He was formerly director of economic policy for the mayor of London.</w:t>
      </w:r>
    </w:p>
    <w:p w14:paraId="00000007" w14:textId="77777777" w:rsidR="00573FD7" w:rsidRPr="001B05D6" w:rsidRDefault="001B05D6">
      <w:pPr>
        <w:widowControl w:val="0"/>
        <w:spacing w:before="200" w:after="200"/>
        <w:rPr>
          <w:rFonts w:ascii="Times New Roman" w:eastAsia="Times New Roman" w:hAnsi="Times New Roman" w:cs="Times New Roman"/>
          <w:i/>
          <w:color w:val="222222"/>
          <w:sz w:val="28"/>
          <w:szCs w:val="28"/>
          <w:highlight w:val="white"/>
        </w:rPr>
      </w:pPr>
      <w:r w:rsidRPr="001B05D6">
        <w:rPr>
          <w:rFonts w:ascii="Times New Roman" w:eastAsia="Times New Roman" w:hAnsi="Times New Roman" w:cs="Times New Roman"/>
          <w:b/>
          <w:sz w:val="28"/>
          <w:szCs w:val="28"/>
          <w:highlight w:val="white"/>
        </w:rPr>
        <w:t>Source:</w:t>
      </w:r>
      <w:r w:rsidRPr="001B05D6">
        <w:rPr>
          <w:rFonts w:ascii="Times New Roman" w:eastAsia="Times New Roman" w:hAnsi="Times New Roman" w:cs="Times New Roman"/>
          <w:sz w:val="28"/>
          <w:szCs w:val="28"/>
          <w:highlight w:val="white"/>
        </w:rPr>
        <w:t xml:space="preserve"> Globetrotter</w:t>
      </w:r>
    </w:p>
    <w:p w14:paraId="00000008" w14:textId="77777777" w:rsidR="00573FD7" w:rsidRPr="001B05D6" w:rsidRDefault="001B05D6">
      <w:pPr>
        <w:widowControl w:val="0"/>
        <w:spacing w:before="200" w:after="200"/>
        <w:rPr>
          <w:rFonts w:ascii="Times New Roman" w:eastAsia="Times New Roman" w:hAnsi="Times New Roman" w:cs="Times New Roman"/>
          <w:b/>
          <w:sz w:val="28"/>
          <w:szCs w:val="28"/>
          <w:highlight w:val="white"/>
        </w:rPr>
      </w:pPr>
      <w:r w:rsidRPr="001B05D6">
        <w:rPr>
          <w:rFonts w:ascii="Times New Roman" w:eastAsia="Times New Roman" w:hAnsi="Times New Roman" w:cs="Times New Roman"/>
          <w:b/>
          <w:sz w:val="28"/>
          <w:szCs w:val="28"/>
          <w:highlight w:val="white"/>
        </w:rPr>
        <w:t>Tags:</w:t>
      </w:r>
      <w:r w:rsidRPr="001B05D6">
        <w:rPr>
          <w:rFonts w:ascii="Times New Roman" w:eastAsia="Times New Roman" w:hAnsi="Times New Roman" w:cs="Times New Roman"/>
          <w:sz w:val="28"/>
          <w:szCs w:val="28"/>
          <w:highlight w:val="white"/>
        </w:rPr>
        <w:t xml:space="preserve"> North America/United States of America, Asia/China, Economy, Trade, Asia, News, Health Care, Politics, Opinion, Trump, Time-Sensitive, Media, Presidential Elections, Tech</w:t>
      </w:r>
    </w:p>
    <w:p w14:paraId="00000009" w14:textId="77777777" w:rsidR="00573FD7" w:rsidRPr="001B05D6" w:rsidRDefault="00573FD7">
      <w:pPr>
        <w:widowControl w:val="0"/>
        <w:spacing w:before="200" w:after="200"/>
        <w:rPr>
          <w:rFonts w:ascii="Times New Roman" w:eastAsia="Times New Roman" w:hAnsi="Times New Roman" w:cs="Times New Roman"/>
          <w:b/>
          <w:sz w:val="28"/>
          <w:szCs w:val="28"/>
          <w:highlight w:val="white"/>
        </w:rPr>
      </w:pPr>
    </w:p>
    <w:p w14:paraId="0000000A"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b/>
          <w:sz w:val="28"/>
          <w:szCs w:val="28"/>
          <w:highlight w:val="white"/>
        </w:rPr>
        <w:t>[Article Body:]</w:t>
      </w:r>
    </w:p>
    <w:p w14:paraId="0000000B"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U.S. President Donald Trump—supported by</w:t>
      </w:r>
      <w:r w:rsidRPr="001B05D6">
        <w:rPr>
          <w:rFonts w:ascii="Times New Roman" w:eastAsia="Times New Roman" w:hAnsi="Times New Roman" w:cs="Times New Roman"/>
          <w:sz w:val="28"/>
          <w:szCs w:val="28"/>
        </w:rPr>
        <w:t xml:space="preserve"> most of the U.S. establishment—deepened the U.S. government’s assault on the Chinese economy. The “trade war” seemed to play well with Trump’s political base, who somehow hoped that an economic attack on China would miraculously create economic prosperity</w:t>
      </w:r>
      <w:r w:rsidRPr="001B05D6">
        <w:rPr>
          <w:rFonts w:ascii="Times New Roman" w:eastAsia="Times New Roman" w:hAnsi="Times New Roman" w:cs="Times New Roman"/>
          <w:sz w:val="28"/>
          <w:szCs w:val="28"/>
        </w:rPr>
        <w:t xml:space="preserve"> for them. In 2018, Trump slapped tariffs on more than $200 billion worth of various Chinese goods. Then, Trump’s administration went after Chinese high-tech firms such as Huawei, ZTE, ByteDance (the owners of TikTok), and WeChat.</w:t>
      </w:r>
    </w:p>
    <w:p w14:paraId="0000000C"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None of this has worked very well. Trump faces negative legal judgments about </w:t>
      </w:r>
      <w:r w:rsidRPr="001B05D6">
        <w:rPr>
          <w:rFonts w:ascii="Times New Roman" w:eastAsia="Times New Roman" w:hAnsi="Times New Roman" w:cs="Times New Roman"/>
          <w:sz w:val="28"/>
          <w:szCs w:val="28"/>
        </w:rPr>
        <w:lastRenderedPageBreak/>
        <w:t xml:space="preserve">his “trade war,” and the U.S. economy slips into negative territory. It is not just Trump. Both the Republican Party and the Democratic Party are committed to a policy that will </w:t>
      </w:r>
      <w:r w:rsidRPr="001B05D6">
        <w:rPr>
          <w:rFonts w:ascii="Times New Roman" w:eastAsia="Times New Roman" w:hAnsi="Times New Roman" w:cs="Times New Roman"/>
          <w:sz w:val="28"/>
          <w:szCs w:val="28"/>
        </w:rPr>
        <w:t>not cause China to surrender to U.S. ambitions. Whether or not the U.S. can backtrack from this policy orientation and begin a dialogue with China remains to be seen; doing so would be, of course, desirable.</w:t>
      </w:r>
    </w:p>
    <w:p w14:paraId="0000000D"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b/>
          <w:sz w:val="28"/>
          <w:szCs w:val="28"/>
        </w:rPr>
        <w:t>Legal Setbacks</w:t>
      </w:r>
    </w:p>
    <w:p w14:paraId="0000000E"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Legal challenges in the World Tra</w:t>
      </w:r>
      <w:r w:rsidRPr="001B05D6">
        <w:rPr>
          <w:rFonts w:ascii="Times New Roman" w:eastAsia="Times New Roman" w:hAnsi="Times New Roman" w:cs="Times New Roman"/>
          <w:sz w:val="28"/>
          <w:szCs w:val="28"/>
        </w:rPr>
        <w:t>de Organization (WTO) and in the U.S. District Court for the Northern District of California went against the Trump administration. This is a setback for the policy orientation of the U.S. government.</w:t>
      </w:r>
    </w:p>
    <w:p w14:paraId="0000000F"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After Trump announced the tariffs against a wide range </w:t>
      </w:r>
      <w:r w:rsidRPr="001B05D6">
        <w:rPr>
          <w:rFonts w:ascii="Times New Roman" w:eastAsia="Times New Roman" w:hAnsi="Times New Roman" w:cs="Times New Roman"/>
          <w:sz w:val="28"/>
          <w:szCs w:val="28"/>
        </w:rPr>
        <w:t xml:space="preserve">of Chinese imports, the Chinese government formally took up the matter through the WTO’s dispute mechanism. After considerable study, the WTO came back with a verdict. On September 15, 2020, a three-person WTO panel </w:t>
      </w:r>
      <w:hyperlink r:id="rId12">
        <w:r w:rsidRPr="001B05D6">
          <w:rPr>
            <w:rFonts w:ascii="Times New Roman" w:eastAsia="Times New Roman" w:hAnsi="Times New Roman" w:cs="Times New Roman"/>
            <w:color w:val="954F72"/>
            <w:sz w:val="28"/>
            <w:szCs w:val="28"/>
            <w:u w:val="single"/>
          </w:rPr>
          <w:t>found</w:t>
        </w:r>
      </w:hyperlink>
      <w:r w:rsidRPr="001B05D6">
        <w:rPr>
          <w:rFonts w:ascii="Times New Roman" w:eastAsia="Times New Roman" w:hAnsi="Times New Roman" w:cs="Times New Roman"/>
          <w:sz w:val="28"/>
          <w:szCs w:val="28"/>
        </w:rPr>
        <w:t xml:space="preserve"> that the U.S. had violated the provisions of the 1994 General Agreement on Tariffs and Trade (GATT), the treaty that established the WTO. This was a serious defeat for the United States; the Trump administration has</w:t>
      </w:r>
      <w:r w:rsidRPr="001B05D6">
        <w:rPr>
          <w:rFonts w:ascii="Times New Roman" w:eastAsia="Times New Roman" w:hAnsi="Times New Roman" w:cs="Times New Roman"/>
          <w:sz w:val="28"/>
          <w:szCs w:val="28"/>
        </w:rPr>
        <w:t xml:space="preserve"> 60 days to file an appeal.</w:t>
      </w:r>
    </w:p>
    <w:p w14:paraId="00000010"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The United States government does not like to lose. U.S. Trade Representative Robert Lighthizer released a statement condemning the ruling. “This panel report,” Lighthizer </w:t>
      </w:r>
      <w:hyperlink r:id="rId13">
        <w:r w:rsidRPr="001B05D6">
          <w:rPr>
            <w:rFonts w:ascii="Times New Roman" w:eastAsia="Times New Roman" w:hAnsi="Times New Roman" w:cs="Times New Roman"/>
            <w:color w:val="954F72"/>
            <w:sz w:val="28"/>
            <w:szCs w:val="28"/>
            <w:u w:val="single"/>
          </w:rPr>
          <w:t>said</w:t>
        </w:r>
      </w:hyperlink>
      <w:r w:rsidRPr="001B05D6">
        <w:rPr>
          <w:rFonts w:ascii="Times New Roman" w:eastAsia="Times New Roman" w:hAnsi="Times New Roman" w:cs="Times New Roman"/>
          <w:sz w:val="28"/>
          <w:szCs w:val="28"/>
        </w:rPr>
        <w:t>, “confirms what the Trump administration has been saying for four years: The WTO is completely inadequate to stop China’s harmful technology pract</w:t>
      </w:r>
      <w:r w:rsidRPr="001B05D6">
        <w:rPr>
          <w:rFonts w:ascii="Times New Roman" w:eastAsia="Times New Roman" w:hAnsi="Times New Roman" w:cs="Times New Roman"/>
          <w:sz w:val="28"/>
          <w:szCs w:val="28"/>
        </w:rPr>
        <w:t>ices.” The U.S. has paralyzed the WTO’s ability to hand down a final binding verdict, as the WTO’s appeals court is currently no longer functioning because of Washington’s refusal to accept new members for it.</w:t>
      </w:r>
    </w:p>
    <w:p w14:paraId="00000011"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In 1994, the U.S. pushed for the creation of t</w:t>
      </w:r>
      <w:r w:rsidRPr="001B05D6">
        <w:rPr>
          <w:rFonts w:ascii="Times New Roman" w:eastAsia="Times New Roman" w:hAnsi="Times New Roman" w:cs="Times New Roman"/>
          <w:sz w:val="28"/>
          <w:szCs w:val="28"/>
        </w:rPr>
        <w:t>he WTO, wrote many of its rules, and brought China into the WTO in 2001. Because the U.S. felt in command of the world, the WTO worked to advance its interests; now that China’s economy has grown in strength, the U.S. finds the rules of the WTO to be burde</w:t>
      </w:r>
      <w:r w:rsidRPr="001B05D6">
        <w:rPr>
          <w:rFonts w:ascii="Times New Roman" w:eastAsia="Times New Roman" w:hAnsi="Times New Roman" w:cs="Times New Roman"/>
          <w:sz w:val="28"/>
          <w:szCs w:val="28"/>
        </w:rPr>
        <w:t>nsome. Free trade is only useful to governments such as the U.S. when it is beneficial to its companies; the principle of free trade is otherwise easily rejected.</w:t>
      </w:r>
    </w:p>
    <w:p w14:paraId="00000012"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Even within the U.S., there is doubt about Trump’s policies. A judge signed an </w:t>
      </w:r>
      <w:hyperlink r:id="rId14">
        <w:r w:rsidRPr="001B05D6">
          <w:rPr>
            <w:rFonts w:ascii="Times New Roman" w:eastAsia="Times New Roman" w:hAnsi="Times New Roman" w:cs="Times New Roman"/>
            <w:color w:val="954F72"/>
            <w:sz w:val="28"/>
            <w:szCs w:val="28"/>
            <w:u w:val="single"/>
          </w:rPr>
          <w:t>injunction</w:t>
        </w:r>
      </w:hyperlink>
      <w:r w:rsidRPr="001B05D6">
        <w:rPr>
          <w:rFonts w:ascii="Times New Roman" w:eastAsia="Times New Roman" w:hAnsi="Times New Roman" w:cs="Times New Roman"/>
          <w:sz w:val="28"/>
          <w:szCs w:val="28"/>
        </w:rPr>
        <w:t xml:space="preserve"> to halt Trump’s attempt to prevent U.S. residents from using WeChat as </w:t>
      </w:r>
      <w:r w:rsidRPr="001B05D6">
        <w:rPr>
          <w:rFonts w:ascii="Times New Roman" w:eastAsia="Times New Roman" w:hAnsi="Times New Roman" w:cs="Times New Roman"/>
          <w:sz w:val="28"/>
          <w:szCs w:val="28"/>
        </w:rPr>
        <w:lastRenderedPageBreak/>
        <w:t>a means to communicate with people in China. Pressure on TikTok may also dissipate after the U.S. ele</w:t>
      </w:r>
      <w:r w:rsidRPr="001B05D6">
        <w:rPr>
          <w:rFonts w:ascii="Times New Roman" w:eastAsia="Times New Roman" w:hAnsi="Times New Roman" w:cs="Times New Roman"/>
          <w:sz w:val="28"/>
          <w:szCs w:val="28"/>
        </w:rPr>
        <w:t>ctions.</w:t>
      </w:r>
    </w:p>
    <w:p w14:paraId="00000013"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b/>
          <w:sz w:val="28"/>
          <w:szCs w:val="28"/>
        </w:rPr>
        <w:t>Economic Divergence</w:t>
      </w:r>
    </w:p>
    <w:p w14:paraId="00000014"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A senior analyst at the Federal Reserve Bank of St. Louis says that the economic impact of the “chaotic” lockdown in the U.S. will create major disruptions for at least a generation. It is unlikely, he says, that the U.S. will b</w:t>
      </w:r>
      <w:r w:rsidRPr="001B05D6">
        <w:rPr>
          <w:rFonts w:ascii="Times New Roman" w:eastAsia="Times New Roman" w:hAnsi="Times New Roman" w:cs="Times New Roman"/>
          <w:sz w:val="28"/>
          <w:szCs w:val="28"/>
        </w:rPr>
        <w:t>e able to “recover easily.” When asked about China’s recovery, he said that so far things look much better. But any persistent reliance of China upon the U.S. market will have a negative impact on China’s growth.</w:t>
      </w:r>
    </w:p>
    <w:p w14:paraId="00000015"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China has essentially </w:t>
      </w:r>
      <w:hyperlink r:id="rId15">
        <w:r w:rsidRPr="001B05D6">
          <w:rPr>
            <w:rFonts w:ascii="Times New Roman" w:eastAsia="Times New Roman" w:hAnsi="Times New Roman" w:cs="Times New Roman"/>
            <w:color w:val="954F72"/>
            <w:sz w:val="28"/>
            <w:szCs w:val="28"/>
            <w:u w:val="single"/>
          </w:rPr>
          <w:t>broken</w:t>
        </w:r>
      </w:hyperlink>
      <w:r w:rsidRPr="001B05D6">
        <w:rPr>
          <w:rFonts w:ascii="Times New Roman" w:eastAsia="Times New Roman" w:hAnsi="Times New Roman" w:cs="Times New Roman"/>
          <w:sz w:val="28"/>
          <w:szCs w:val="28"/>
        </w:rPr>
        <w:t xml:space="preserve"> the chain of the COVID-19 infection, although the authorities remain vigilant for new outbreaks; in the U.S., it is hard to talk about a second wave since the first wave has not yet crested.</w:t>
      </w:r>
    </w:p>
    <w:p w14:paraId="00000016"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What this has meant is that as early </w:t>
      </w:r>
      <w:r w:rsidRPr="001B05D6">
        <w:rPr>
          <w:rFonts w:ascii="Times New Roman" w:eastAsia="Times New Roman" w:hAnsi="Times New Roman" w:cs="Times New Roman"/>
          <w:sz w:val="28"/>
          <w:szCs w:val="28"/>
        </w:rPr>
        <w:t xml:space="preserve">as the second quarter of 2020, China’s gross domestic product (GDP) </w:t>
      </w:r>
      <w:hyperlink r:id="rId16">
        <w:r w:rsidRPr="001B05D6">
          <w:rPr>
            <w:rFonts w:ascii="Times New Roman" w:eastAsia="Times New Roman" w:hAnsi="Times New Roman" w:cs="Times New Roman"/>
            <w:color w:val="954F72"/>
            <w:sz w:val="28"/>
            <w:szCs w:val="28"/>
            <w:u w:val="single"/>
          </w:rPr>
          <w:t>rose</w:t>
        </w:r>
      </w:hyperlink>
      <w:r w:rsidRPr="001B05D6">
        <w:rPr>
          <w:rFonts w:ascii="Times New Roman" w:eastAsia="Times New Roman" w:hAnsi="Times New Roman" w:cs="Times New Roman"/>
          <w:sz w:val="28"/>
          <w:szCs w:val="28"/>
        </w:rPr>
        <w:t xml:space="preserve"> to 3.2 percent above the level a year previously; meanwhile, the GDP of the U.S. </w:t>
      </w:r>
      <w:hyperlink r:id="rId17" w:anchor="reqid=19&amp;step=2&amp;isuri=1&amp;1921=survey">
        <w:r w:rsidRPr="001B05D6">
          <w:rPr>
            <w:rFonts w:ascii="Times New Roman" w:eastAsia="Times New Roman" w:hAnsi="Times New Roman" w:cs="Times New Roman"/>
            <w:color w:val="954F72"/>
            <w:sz w:val="28"/>
            <w:szCs w:val="28"/>
            <w:u w:val="single"/>
          </w:rPr>
          <w:t>fell</w:t>
        </w:r>
      </w:hyperlink>
      <w:r w:rsidRPr="001B05D6">
        <w:rPr>
          <w:rFonts w:ascii="Times New Roman" w:eastAsia="Times New Roman" w:hAnsi="Times New Roman" w:cs="Times New Roman"/>
          <w:sz w:val="28"/>
          <w:szCs w:val="28"/>
        </w:rPr>
        <w:t xml:space="preserve"> by 9 percent below last year’s level. China is already on the way to recovery, while the U.S. does not even know if the infection has peaked or not.</w:t>
      </w:r>
    </w:p>
    <w:p w14:paraId="00000017"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The U.S. and China publish somewhat different m</w:t>
      </w:r>
      <w:r w:rsidRPr="001B05D6">
        <w:rPr>
          <w:rFonts w:ascii="Times New Roman" w:eastAsia="Times New Roman" w:hAnsi="Times New Roman" w:cs="Times New Roman"/>
          <w:sz w:val="28"/>
          <w:szCs w:val="28"/>
        </w:rPr>
        <w:t xml:space="preserve">easures of industrial output, but the contrast is so striking that it leaves no doubt as to the relative trends. China publishes data for total value added by industrial enterprises, which in </w:t>
      </w:r>
      <w:hyperlink r:id="rId18">
        <w:r w:rsidRPr="001B05D6">
          <w:rPr>
            <w:rFonts w:ascii="Times New Roman" w:eastAsia="Times New Roman" w:hAnsi="Times New Roman" w:cs="Times New Roman"/>
            <w:color w:val="1155CC"/>
            <w:sz w:val="28"/>
            <w:szCs w:val="28"/>
            <w:u w:val="single"/>
          </w:rPr>
          <w:t>August 2020</w:t>
        </w:r>
      </w:hyperlink>
      <w:r w:rsidRPr="001B05D6">
        <w:rPr>
          <w:rFonts w:ascii="Times New Roman" w:eastAsia="Times New Roman" w:hAnsi="Times New Roman" w:cs="Times New Roman"/>
          <w:sz w:val="28"/>
          <w:szCs w:val="28"/>
        </w:rPr>
        <w:t xml:space="preserve"> was </w:t>
      </w:r>
      <w:r w:rsidRPr="001B05D6">
        <w:rPr>
          <w:rFonts w:ascii="Times New Roman" w:eastAsia="Times New Roman" w:hAnsi="Times New Roman" w:cs="Times New Roman"/>
          <w:sz w:val="28"/>
          <w:szCs w:val="28"/>
        </w:rPr>
        <w:t xml:space="preserve">5.6 percent higher than a year previously, whereas in contrast the U.S. industrial output for </w:t>
      </w:r>
      <w:hyperlink r:id="rId19">
        <w:r w:rsidRPr="001B05D6">
          <w:rPr>
            <w:rFonts w:ascii="Times New Roman" w:eastAsia="Times New Roman" w:hAnsi="Times New Roman" w:cs="Times New Roman"/>
            <w:color w:val="1155CC"/>
            <w:sz w:val="28"/>
            <w:szCs w:val="28"/>
            <w:u w:val="single"/>
          </w:rPr>
          <w:t>August 2020</w:t>
        </w:r>
      </w:hyperlink>
      <w:r w:rsidRPr="001B05D6">
        <w:rPr>
          <w:rFonts w:ascii="Times New Roman" w:eastAsia="Times New Roman" w:hAnsi="Times New Roman" w:cs="Times New Roman"/>
          <w:sz w:val="28"/>
          <w:szCs w:val="28"/>
        </w:rPr>
        <w:t xml:space="preserve"> was 7.7 percent lower than a year earlier. China’s level of industrial product</w:t>
      </w:r>
      <w:r w:rsidRPr="001B05D6">
        <w:rPr>
          <w:rFonts w:ascii="Times New Roman" w:eastAsia="Times New Roman" w:hAnsi="Times New Roman" w:cs="Times New Roman"/>
          <w:sz w:val="28"/>
          <w:szCs w:val="28"/>
        </w:rPr>
        <w:t>ion was higher than a year previously, whereas the U.S.’s was far below it.</w:t>
      </w:r>
    </w:p>
    <w:p w14:paraId="00000018"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As a result of China’s much more dynamic economic recovery, China’s trade is recovering much more rapidly than that of the United States. This is clear for imports—which for other countries are their exports. In July, the last month for which there is </w:t>
      </w:r>
      <w:hyperlink r:id="rId20">
        <w:r w:rsidRPr="001B05D6">
          <w:rPr>
            <w:rFonts w:ascii="Times New Roman" w:eastAsia="Times New Roman" w:hAnsi="Times New Roman" w:cs="Times New Roman"/>
            <w:color w:val="954F72"/>
            <w:sz w:val="28"/>
            <w:szCs w:val="28"/>
            <w:u w:val="single"/>
          </w:rPr>
          <w:t>data</w:t>
        </w:r>
      </w:hyperlink>
      <w:r w:rsidRPr="001B05D6">
        <w:rPr>
          <w:rFonts w:ascii="Times New Roman" w:eastAsia="Times New Roman" w:hAnsi="Times New Roman" w:cs="Times New Roman"/>
          <w:sz w:val="28"/>
          <w:szCs w:val="28"/>
        </w:rPr>
        <w:t xml:space="preserve"> for both the U.S. and China, China’s imports had almost regained pre-pandemic levels—being only about </w:t>
      </w:r>
      <w:hyperlink r:id="rId21">
        <w:r w:rsidRPr="001B05D6">
          <w:rPr>
            <w:rFonts w:ascii="Times New Roman" w:eastAsia="Times New Roman" w:hAnsi="Times New Roman" w:cs="Times New Roman"/>
            <w:color w:val="1155CC"/>
            <w:sz w:val="28"/>
            <w:szCs w:val="28"/>
            <w:u w:val="single"/>
          </w:rPr>
          <w:t>1 percent</w:t>
        </w:r>
      </w:hyperlink>
      <w:r w:rsidRPr="001B05D6">
        <w:rPr>
          <w:rFonts w:ascii="Times New Roman" w:eastAsia="Times New Roman" w:hAnsi="Times New Roman" w:cs="Times New Roman"/>
          <w:sz w:val="28"/>
          <w:szCs w:val="28"/>
        </w:rPr>
        <w:t xml:space="preserve"> lower than a</w:t>
      </w:r>
      <w:r w:rsidRPr="001B05D6">
        <w:rPr>
          <w:rFonts w:ascii="Times New Roman" w:eastAsia="Times New Roman" w:hAnsi="Times New Roman" w:cs="Times New Roman"/>
          <w:sz w:val="28"/>
          <w:szCs w:val="28"/>
        </w:rPr>
        <w:t xml:space="preserve"> year previously. In contrast, U.S. imports were still about </w:t>
      </w:r>
      <w:hyperlink r:id="rId22">
        <w:r w:rsidRPr="001B05D6">
          <w:rPr>
            <w:rFonts w:ascii="Times New Roman" w:eastAsia="Times New Roman" w:hAnsi="Times New Roman" w:cs="Times New Roman"/>
            <w:color w:val="1155CC"/>
            <w:sz w:val="28"/>
            <w:szCs w:val="28"/>
            <w:u w:val="single"/>
          </w:rPr>
          <w:t>11 percent</w:t>
        </w:r>
      </w:hyperlink>
      <w:r w:rsidRPr="001B05D6">
        <w:rPr>
          <w:rFonts w:ascii="Times New Roman" w:eastAsia="Times New Roman" w:hAnsi="Times New Roman" w:cs="Times New Roman"/>
          <w:sz w:val="28"/>
          <w:szCs w:val="28"/>
        </w:rPr>
        <w:t xml:space="preserve"> below a year previously.</w:t>
      </w:r>
    </w:p>
    <w:p w14:paraId="00000019"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lastRenderedPageBreak/>
        <w:t>The result of these trends is that China will be the center of world economic recovery fr</w:t>
      </w:r>
      <w:r w:rsidRPr="001B05D6">
        <w:rPr>
          <w:rFonts w:ascii="Times New Roman" w:eastAsia="Times New Roman" w:hAnsi="Times New Roman" w:cs="Times New Roman"/>
          <w:sz w:val="28"/>
          <w:szCs w:val="28"/>
        </w:rPr>
        <w:t>om the COVID-19 recession—while the U.S. will contribute almost nothing to it.</w:t>
      </w:r>
    </w:p>
    <w:p w14:paraId="0000001A" w14:textId="77777777" w:rsidR="00573FD7" w:rsidRPr="001B05D6" w:rsidRDefault="001B05D6">
      <w:pPr>
        <w:widowControl w:val="0"/>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The latest global </w:t>
      </w:r>
      <w:hyperlink r:id="rId23">
        <w:r w:rsidRPr="001B05D6">
          <w:rPr>
            <w:rFonts w:ascii="Times New Roman" w:eastAsia="Times New Roman" w:hAnsi="Times New Roman" w:cs="Times New Roman"/>
            <w:color w:val="954F72"/>
            <w:sz w:val="28"/>
            <w:szCs w:val="28"/>
            <w:u w:val="single"/>
          </w:rPr>
          <w:t>projections</w:t>
        </w:r>
      </w:hyperlink>
      <w:r w:rsidRPr="001B05D6">
        <w:rPr>
          <w:rFonts w:ascii="Times New Roman" w:eastAsia="Times New Roman" w:hAnsi="Times New Roman" w:cs="Times New Roman"/>
          <w:sz w:val="28"/>
          <w:szCs w:val="28"/>
        </w:rPr>
        <w:t xml:space="preserve"> of the IMF indicate that in 2020-2021, China will ac</w:t>
      </w:r>
      <w:r w:rsidRPr="001B05D6">
        <w:rPr>
          <w:rFonts w:ascii="Times New Roman" w:eastAsia="Times New Roman" w:hAnsi="Times New Roman" w:cs="Times New Roman"/>
          <w:sz w:val="28"/>
          <w:szCs w:val="28"/>
        </w:rPr>
        <w:t xml:space="preserve">count for the absolute majority, 51 percent, of world growth, and the U.S. for only 3 percent—and the latest IMF </w:t>
      </w:r>
      <w:hyperlink r:id="rId24">
        <w:r w:rsidRPr="001B05D6">
          <w:rPr>
            <w:rFonts w:ascii="Times New Roman" w:eastAsia="Times New Roman" w:hAnsi="Times New Roman" w:cs="Times New Roman"/>
            <w:color w:val="954F72"/>
            <w:sz w:val="28"/>
            <w:szCs w:val="28"/>
            <w:u w:val="single"/>
          </w:rPr>
          <w:t>predictions</w:t>
        </w:r>
      </w:hyperlink>
      <w:r w:rsidRPr="001B05D6">
        <w:rPr>
          <w:rFonts w:ascii="Times New Roman" w:eastAsia="Times New Roman" w:hAnsi="Times New Roman" w:cs="Times New Roman"/>
          <w:sz w:val="28"/>
          <w:szCs w:val="28"/>
        </w:rPr>
        <w:t xml:space="preserve"> for the U.S. indicates that this may</w:t>
      </w:r>
      <w:r w:rsidRPr="001B05D6">
        <w:rPr>
          <w:rFonts w:ascii="Times New Roman" w:eastAsia="Times New Roman" w:hAnsi="Times New Roman" w:cs="Times New Roman"/>
          <w:sz w:val="28"/>
          <w:szCs w:val="28"/>
        </w:rPr>
        <w:t xml:space="preserve"> be an exaggeration of its growth. Most of the other contributors to world growth according to the IMF analysis will be Asian economies who have strong trading relations with China—South Korea, Indonesia, the Philippines, Vietnam, and Malaysia.</w:t>
      </w:r>
    </w:p>
    <w:p w14:paraId="0000001B" w14:textId="77777777" w:rsidR="00573FD7" w:rsidRPr="001B05D6" w:rsidRDefault="001B05D6">
      <w:pPr>
        <w:widowControl w:val="0"/>
        <w:shd w:val="clear" w:color="auto" w:fill="FFFFFF"/>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To analyze the global situation, the impact of the COVID-19 crisis has a very dramatic impact on the pattern of development of the world economy as divided between developing and advanced economies. The data in the IMF’s </w:t>
      </w:r>
      <w:hyperlink r:id="rId25">
        <w:r w:rsidRPr="001B05D6">
          <w:rPr>
            <w:rFonts w:ascii="Times New Roman" w:eastAsia="Times New Roman" w:hAnsi="Times New Roman" w:cs="Times New Roman"/>
            <w:color w:val="0563C1"/>
            <w:sz w:val="28"/>
            <w:szCs w:val="28"/>
            <w:u w:val="single"/>
          </w:rPr>
          <w:t>projections</w:t>
        </w:r>
      </w:hyperlink>
      <w:r w:rsidRPr="001B05D6">
        <w:rPr>
          <w:rFonts w:ascii="Times New Roman" w:eastAsia="Times New Roman" w:hAnsi="Times New Roman" w:cs="Times New Roman"/>
          <w:sz w:val="28"/>
          <w:szCs w:val="28"/>
        </w:rPr>
        <w:t xml:space="preserve"> show that by 2021 GDP in the </w:t>
      </w:r>
      <w:hyperlink r:id="rId26">
        <w:r w:rsidRPr="001B05D6">
          <w:rPr>
            <w:rFonts w:ascii="Times New Roman" w:eastAsia="Times New Roman" w:hAnsi="Times New Roman" w:cs="Times New Roman"/>
            <w:color w:val="0563C1"/>
            <w:sz w:val="28"/>
            <w:szCs w:val="28"/>
            <w:u w:val="single"/>
          </w:rPr>
          <w:t>advanced economies</w:t>
        </w:r>
      </w:hyperlink>
      <w:r w:rsidRPr="001B05D6">
        <w:rPr>
          <w:rFonts w:ascii="Times New Roman" w:eastAsia="Times New Roman" w:hAnsi="Times New Roman" w:cs="Times New Roman"/>
          <w:sz w:val="28"/>
          <w:szCs w:val="28"/>
        </w:rPr>
        <w:t xml:space="preserve"> will still be 3.6 percent below its level</w:t>
      </w:r>
      <w:r w:rsidRPr="001B05D6">
        <w:rPr>
          <w:rFonts w:ascii="Times New Roman" w:eastAsia="Times New Roman" w:hAnsi="Times New Roman" w:cs="Times New Roman"/>
          <w:sz w:val="28"/>
          <w:szCs w:val="28"/>
        </w:rPr>
        <w:t xml:space="preserve"> in 2019 while in the </w:t>
      </w:r>
      <w:hyperlink r:id="rId27">
        <w:r w:rsidRPr="001B05D6">
          <w:rPr>
            <w:rFonts w:ascii="Times New Roman" w:eastAsia="Times New Roman" w:hAnsi="Times New Roman" w:cs="Times New Roman"/>
            <w:color w:val="0563C1"/>
            <w:sz w:val="28"/>
            <w:szCs w:val="28"/>
            <w:u w:val="single"/>
          </w:rPr>
          <w:t>developing economies</w:t>
        </w:r>
      </w:hyperlink>
      <w:r w:rsidRPr="001B05D6">
        <w:rPr>
          <w:rFonts w:ascii="Times New Roman" w:eastAsia="Times New Roman" w:hAnsi="Times New Roman" w:cs="Times New Roman"/>
          <w:sz w:val="28"/>
          <w:szCs w:val="28"/>
        </w:rPr>
        <w:t xml:space="preserve"> it will be 2.7 percent above 2019. This is a major distribution of world economic growth in favor of developing econom</w:t>
      </w:r>
      <w:r w:rsidRPr="001B05D6">
        <w:rPr>
          <w:rFonts w:ascii="Times New Roman" w:eastAsia="Times New Roman" w:hAnsi="Times New Roman" w:cs="Times New Roman"/>
          <w:sz w:val="28"/>
          <w:szCs w:val="28"/>
        </w:rPr>
        <w:t>ies and against advanced ones.</w:t>
      </w:r>
    </w:p>
    <w:p w14:paraId="0000001C" w14:textId="77777777" w:rsidR="00573FD7" w:rsidRPr="001B05D6" w:rsidRDefault="001B05D6">
      <w:pPr>
        <w:widowControl w:val="0"/>
        <w:shd w:val="clear" w:color="auto" w:fill="FFFFFF"/>
        <w:spacing w:before="200" w:after="200"/>
        <w:rPr>
          <w:rFonts w:ascii="Times New Roman" w:eastAsia="Times New Roman" w:hAnsi="Times New Roman" w:cs="Times New Roman"/>
          <w:sz w:val="28"/>
          <w:szCs w:val="28"/>
        </w:rPr>
      </w:pPr>
      <w:r w:rsidRPr="001B05D6">
        <w:rPr>
          <w:rFonts w:ascii="Times New Roman" w:eastAsia="Times New Roman" w:hAnsi="Times New Roman" w:cs="Times New Roman"/>
          <w:sz w:val="28"/>
          <w:szCs w:val="28"/>
        </w:rPr>
        <w:t xml:space="preserve">The April IMF </w:t>
      </w:r>
      <w:hyperlink r:id="rId28">
        <w:r w:rsidRPr="001B05D6">
          <w:rPr>
            <w:rFonts w:ascii="Times New Roman" w:eastAsia="Times New Roman" w:hAnsi="Times New Roman" w:cs="Times New Roman"/>
            <w:color w:val="954F72"/>
            <w:sz w:val="28"/>
            <w:szCs w:val="28"/>
            <w:u w:val="single"/>
          </w:rPr>
          <w:t>estimates</w:t>
        </w:r>
      </w:hyperlink>
      <w:r w:rsidRPr="001B05D6">
        <w:rPr>
          <w:rFonts w:ascii="Times New Roman" w:eastAsia="Times New Roman" w:hAnsi="Times New Roman" w:cs="Times New Roman"/>
          <w:sz w:val="28"/>
          <w:szCs w:val="28"/>
        </w:rPr>
        <w:t xml:space="preserve"> indicate that in 2020-2021 more than 95 percent of world economic growth will take place in developing econom</w:t>
      </w:r>
      <w:r w:rsidRPr="001B05D6">
        <w:rPr>
          <w:rFonts w:ascii="Times New Roman" w:eastAsia="Times New Roman" w:hAnsi="Times New Roman" w:cs="Times New Roman"/>
          <w:sz w:val="28"/>
          <w:szCs w:val="28"/>
        </w:rPr>
        <w:t xml:space="preserve">ies—the data in the April IMF </w:t>
      </w:r>
      <w:hyperlink r:id="rId29">
        <w:r w:rsidRPr="001B05D6">
          <w:rPr>
            <w:rFonts w:ascii="Times New Roman" w:eastAsia="Times New Roman" w:hAnsi="Times New Roman" w:cs="Times New Roman"/>
            <w:color w:val="0563C1"/>
            <w:sz w:val="28"/>
            <w:szCs w:val="28"/>
            <w:u w:val="single"/>
          </w:rPr>
          <w:t>World Economic Outlook</w:t>
        </w:r>
      </w:hyperlink>
      <w:r w:rsidRPr="001B05D6">
        <w:rPr>
          <w:rFonts w:ascii="Times New Roman" w:eastAsia="Times New Roman" w:hAnsi="Times New Roman" w:cs="Times New Roman"/>
          <w:sz w:val="28"/>
          <w:szCs w:val="28"/>
        </w:rPr>
        <w:t xml:space="preserve"> database means it projects that 51 percent of world growth will take place in China and 44 percent in other dev</w:t>
      </w:r>
      <w:r w:rsidRPr="001B05D6">
        <w:rPr>
          <w:rFonts w:ascii="Times New Roman" w:eastAsia="Times New Roman" w:hAnsi="Times New Roman" w:cs="Times New Roman"/>
          <w:sz w:val="28"/>
          <w:szCs w:val="28"/>
        </w:rPr>
        <w:t>eloping economies. Less than 5 percent of world economic growth will take place in advanced economies.</w:t>
      </w:r>
    </w:p>
    <w:p w14:paraId="0000001D" w14:textId="77777777" w:rsidR="00573FD7" w:rsidRPr="001B05D6" w:rsidRDefault="001B05D6">
      <w:pPr>
        <w:widowControl w:val="0"/>
        <w:spacing w:before="200" w:after="200"/>
        <w:rPr>
          <w:rFonts w:ascii="Times New Roman" w:eastAsia="Times New Roman" w:hAnsi="Times New Roman" w:cs="Times New Roman"/>
          <w:sz w:val="28"/>
          <w:szCs w:val="28"/>
        </w:rPr>
      </w:pPr>
      <w:bookmarkStart w:id="0" w:name="_ue2kdfs1a2x" w:colFirst="0" w:colLast="0"/>
      <w:bookmarkEnd w:id="0"/>
      <w:r w:rsidRPr="001B05D6">
        <w:rPr>
          <w:rFonts w:ascii="Times New Roman" w:eastAsia="Times New Roman" w:hAnsi="Times New Roman" w:cs="Times New Roman"/>
          <w:sz w:val="28"/>
          <w:szCs w:val="28"/>
        </w:rPr>
        <w:t>By attempting to reorient world trade away from China and to the United States, the U.S. is therefore attempting to lock other countries into subordinati</w:t>
      </w:r>
      <w:r w:rsidRPr="001B05D6">
        <w:rPr>
          <w:rFonts w:ascii="Times New Roman" w:eastAsia="Times New Roman" w:hAnsi="Times New Roman" w:cs="Times New Roman"/>
          <w:sz w:val="28"/>
          <w:szCs w:val="28"/>
        </w:rPr>
        <w:t>on to its own very low growth instead of the much more rapidly growing economy of China. This is evidently strongly damaging for other countries’ economies.</w:t>
      </w:r>
    </w:p>
    <w:sectPr w:rsidR="00573FD7" w:rsidRPr="001B05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FD7"/>
    <w:rsid w:val="001B05D6"/>
    <w:rsid w:val="00573FD7"/>
    <w:rsid w:val="00FC7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A9C81B7-0C46-E74D-B1EB-D8D8F4FD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smile.amazon.com/Darker-Nations-Peoples-History-Third/dp/1595583424/?tag=alternorg08-20" TargetMode="External"/><Relationship Id="rId13" Type="http://schemas.openxmlformats.org/officeDocument/2006/relationships/hyperlink" Target="https://ustr.gov/about-us/policy-offices/press-office/press-releases/2020/september/wto-report-us-action-against-china-shows-necessity-reform" TargetMode="External"/><Relationship Id="rId18" Type="http://schemas.openxmlformats.org/officeDocument/2006/relationships/hyperlink" Target="https://tinyurl.com/yyk5geqm" TargetMode="External"/><Relationship Id="rId26" Type="http://schemas.openxmlformats.org/officeDocument/2006/relationships/hyperlink" Target="https://www.imf.org/en/Publications/WEO/Issues/2020/06/24/WEOUpdateJune2020" TargetMode="External"/><Relationship Id="rId3" Type="http://schemas.openxmlformats.org/officeDocument/2006/relationships/webSettings" Target="webSettings.xml"/><Relationship Id="rId21" Type="http://schemas.openxmlformats.org/officeDocument/2006/relationships/hyperlink" Target="https://tradingeconomics.com/china/imports" TargetMode="External"/><Relationship Id="rId7" Type="http://schemas.openxmlformats.org/officeDocument/2006/relationships/hyperlink" Target="https://tinyurl.com/y2hdjcpo" TargetMode="External"/><Relationship Id="rId12" Type="http://schemas.openxmlformats.org/officeDocument/2006/relationships/hyperlink" Target="https://www.wto.org/english/tratop_e/dispu_e/543r_e.pdf" TargetMode="External"/><Relationship Id="rId17" Type="http://schemas.openxmlformats.org/officeDocument/2006/relationships/hyperlink" Target="https://apps.bea.gov/iTable/iTable.cfm?reqid=19&amp;step=2" TargetMode="External"/><Relationship Id="rId25" Type="http://schemas.openxmlformats.org/officeDocument/2006/relationships/hyperlink" Target="https://www.imf.org/en/Publications/WEO/Issues/2020/06/24/WEOUpdateJune2020" TargetMode="External"/><Relationship Id="rId2" Type="http://schemas.openxmlformats.org/officeDocument/2006/relationships/settings" Target="settings.xml"/><Relationship Id="rId16" Type="http://schemas.openxmlformats.org/officeDocument/2006/relationships/hyperlink" Target="https://bit.ly/30jHokH" TargetMode="External"/><Relationship Id="rId20" Type="http://schemas.openxmlformats.org/officeDocument/2006/relationships/hyperlink" Target="https://tradingeconomics.com/country-list/imports" TargetMode="External"/><Relationship Id="rId29" Type="http://schemas.openxmlformats.org/officeDocument/2006/relationships/hyperlink" Target="https://www.imf.org/en/Publications/WEO/Issues/2020/04/14/weo-april-2020" TargetMode="External"/><Relationship Id="rId1" Type="http://schemas.openxmlformats.org/officeDocument/2006/relationships/styles" Target="styles.xml"/><Relationship Id="rId6" Type="http://schemas.openxmlformats.org/officeDocument/2006/relationships/hyperlink" Target="https://thetricontinental.org" TargetMode="External"/><Relationship Id="rId11" Type="http://schemas.openxmlformats.org/officeDocument/2006/relationships/hyperlink" Target="https://tinyurl.com/y3tpm93d" TargetMode="External"/><Relationship Id="rId24" Type="http://schemas.openxmlformats.org/officeDocument/2006/relationships/hyperlink" Target="https://www.imf.org/en/Publications/WEO/Issues/2020/06/24/WEOUpdateJune2020" TargetMode="External"/><Relationship Id="rId5" Type="http://schemas.openxmlformats.org/officeDocument/2006/relationships/hyperlink" Target="https://mayday.leftword.com/" TargetMode="External"/><Relationship Id="rId15" Type="http://schemas.openxmlformats.org/officeDocument/2006/relationships/hyperlink" Target="https://bit.ly/3jikiCr" TargetMode="External"/><Relationship Id="rId23" Type="http://schemas.openxmlformats.org/officeDocument/2006/relationships/hyperlink" Target="https://www.imf.org/en/Publications/WEO/Issues/2020/06/24/WEOUpdateJune2020" TargetMode="External"/><Relationship Id="rId28" Type="http://schemas.openxmlformats.org/officeDocument/2006/relationships/hyperlink" Target="https://www.imf.org/en/Publications/WEO/Issues/2020/04/14/weo-april-2020" TargetMode="External"/><Relationship Id="rId10" Type="http://schemas.openxmlformats.org/officeDocument/2006/relationships/hyperlink" Target="https://mayday.leftword.com/catalog/product/view/id/21820" TargetMode="External"/><Relationship Id="rId19" Type="http://schemas.openxmlformats.org/officeDocument/2006/relationships/hyperlink" Target="https://www.federalreserve.gov/releases/g17/current/" TargetMode="External"/><Relationship Id="rId31" Type="http://schemas.openxmlformats.org/officeDocument/2006/relationships/theme" Target="theme/theme1.xml"/><Relationship Id="rId4" Type="http://schemas.openxmlformats.org/officeDocument/2006/relationships/hyperlink" Target="https://independentmediainstitute.org/globetrotter/" TargetMode="External"/><Relationship Id="rId9" Type="http://schemas.openxmlformats.org/officeDocument/2006/relationships/hyperlink" Target="https://smile.amazon.com/Poorer-Nations-Possible-History-Global/dp/1781681589/?tag=alternorg08-20" TargetMode="External"/><Relationship Id="rId14" Type="http://schemas.openxmlformats.org/officeDocument/2006/relationships/hyperlink" Target="https://www.politico.com/f/?id=00000174-abca-d59c-a174-ffde131b0000" TargetMode="External"/><Relationship Id="rId22" Type="http://schemas.openxmlformats.org/officeDocument/2006/relationships/hyperlink" Target="https://tradingeconomics.com/united-states/imports" TargetMode="External"/><Relationship Id="rId27" Type="http://schemas.openxmlformats.org/officeDocument/2006/relationships/hyperlink" Target="https://www.imf.org/en/Publications/WEO/Issues/2020/06/24/WEOUpdateJune202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1499</Words>
  <Characters>8545</Characters>
  <Application>Microsoft Office Word</Application>
  <DocSecurity>0</DocSecurity>
  <Lines>71</Lines>
  <Paragraphs>20</Paragraphs>
  <ScaleCrop>false</ScaleCrop>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3</cp:revision>
  <dcterms:created xsi:type="dcterms:W3CDTF">2020-10-06T21:30:00Z</dcterms:created>
  <dcterms:modified xsi:type="dcterms:W3CDTF">2020-10-06T21:30:00Z</dcterms:modified>
</cp:coreProperties>
</file>