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91834" w:rsidRDefault="004C0FC7">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Violence Against Indigenous Women Grows in Vancouver Amid ‘Apathy and Injustice’</w:t>
      </w:r>
    </w:p>
    <w:p w14:paraId="00000002" w14:textId="77777777" w:rsidR="00A91834" w:rsidRDefault="004C0FC7">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Teaser:</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Indigenous women and girls in Canada continue to face disproportionate levels of violence and insecurity rooted in colonialism.</w:t>
      </w:r>
    </w:p>
    <w:p w14:paraId="00000003" w14:textId="77777777" w:rsidR="00A91834" w:rsidRDefault="004C0FC7">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By </w:t>
      </w:r>
      <w:proofErr w:type="spellStart"/>
      <w:r>
        <w:rPr>
          <w:rFonts w:ascii="Times New Roman" w:eastAsia="Times New Roman" w:hAnsi="Times New Roman" w:cs="Times New Roman"/>
          <w:sz w:val="28"/>
          <w:szCs w:val="28"/>
          <w:highlight w:val="white"/>
        </w:rPr>
        <w:t>Tanupriya</w:t>
      </w:r>
      <w:proofErr w:type="spellEnd"/>
      <w:r>
        <w:rPr>
          <w:rFonts w:ascii="Times New Roman" w:eastAsia="Times New Roman" w:hAnsi="Times New Roman" w:cs="Times New Roman"/>
          <w:sz w:val="28"/>
          <w:szCs w:val="28"/>
          <w:highlight w:val="white"/>
        </w:rPr>
        <w:t xml:space="preserve"> Singh</w:t>
      </w:r>
    </w:p>
    <w:p w14:paraId="00000004" w14:textId="77777777" w:rsidR="00A91834" w:rsidRDefault="004C0FC7">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was produced in partnership by </w:t>
      </w:r>
      <w:hyperlink r:id="rId6">
        <w:r>
          <w:rPr>
            <w:rFonts w:ascii="Times New Roman" w:eastAsia="Times New Roman" w:hAnsi="Times New Roman" w:cs="Times New Roman"/>
            <w:color w:val="1155CC"/>
            <w:sz w:val="28"/>
            <w:szCs w:val="28"/>
            <w:highlight w:val="white"/>
            <w:u w:val="single"/>
          </w:rPr>
          <w:t>Peopl</w:t>
        </w:r>
        <w:r>
          <w:rPr>
            <w:rFonts w:ascii="Times New Roman" w:eastAsia="Times New Roman" w:hAnsi="Times New Roman" w:cs="Times New Roman"/>
            <w:color w:val="1155CC"/>
            <w:sz w:val="28"/>
            <w:szCs w:val="28"/>
            <w:highlight w:val="white"/>
            <w:u w:val="single"/>
          </w:rPr>
          <w:t>es Dispatch</w:t>
        </w:r>
      </w:hyperlink>
      <w:r>
        <w:rPr>
          <w:rFonts w:ascii="Times New Roman" w:eastAsia="Times New Roman" w:hAnsi="Times New Roman" w:cs="Times New Roman"/>
          <w:sz w:val="28"/>
          <w:szCs w:val="28"/>
          <w:highlight w:val="white"/>
        </w:rPr>
        <w:t xml:space="preserve"> and </w:t>
      </w:r>
      <w:hyperlink r:id="rId7">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Tanupriya</w:t>
      </w:r>
      <w:proofErr w:type="spellEnd"/>
      <w:r>
        <w:rPr>
          <w:rFonts w:ascii="Times New Roman" w:eastAsia="Times New Roman" w:hAnsi="Times New Roman" w:cs="Times New Roman"/>
          <w:sz w:val="28"/>
          <w:szCs w:val="28"/>
          <w:highlight w:val="white"/>
        </w:rPr>
        <w:t xml:space="preserve"> Singh is a writer at Peoples Dispatch and is based in Delhi.</w:t>
      </w:r>
    </w:p>
    <w:p w14:paraId="00000005" w14:textId="77777777" w:rsidR="00A91834" w:rsidRDefault="004C0FC7">
      <w:pPr>
        <w:widowControl w:val="0"/>
        <w:spacing w:before="200" w:after="20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6" w14:textId="77777777" w:rsidR="00A91834" w:rsidRDefault="004C0FC7">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Indigenous Resistance, Women’s Rights, North America/Canada, Social Justice, Acti</w:t>
      </w:r>
      <w:r>
        <w:rPr>
          <w:rFonts w:ascii="Times New Roman" w:eastAsia="Times New Roman" w:hAnsi="Times New Roman" w:cs="Times New Roman"/>
          <w:sz w:val="28"/>
          <w:szCs w:val="28"/>
          <w:highlight w:val="white"/>
        </w:rPr>
        <w:t>vism, Gender, Human Rights, Criminal Justice, Opinion, Time-Sensitive</w:t>
      </w:r>
    </w:p>
    <w:p w14:paraId="00000007" w14:textId="77777777" w:rsidR="00A91834" w:rsidRDefault="00A91834">
      <w:pPr>
        <w:widowControl w:val="0"/>
        <w:spacing w:before="200" w:after="200"/>
        <w:rPr>
          <w:rFonts w:ascii="Times New Roman" w:eastAsia="Times New Roman" w:hAnsi="Times New Roman" w:cs="Times New Roman"/>
          <w:b/>
          <w:sz w:val="28"/>
          <w:szCs w:val="28"/>
          <w:highlight w:val="white"/>
        </w:rPr>
      </w:pPr>
    </w:p>
    <w:p w14:paraId="00000008" w14:textId="77777777" w:rsidR="00A91834" w:rsidRDefault="004C0FC7">
      <w:pPr>
        <w:widowControl w:val="0"/>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[Article Body:]</w:t>
      </w:r>
    </w:p>
    <w:p w14:paraId="00000009"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Violence against Indigenous women is </w:t>
      </w:r>
      <w:hyperlink r:id="rId8">
        <w:r>
          <w:rPr>
            <w:rFonts w:ascii="Times New Roman" w:eastAsia="Times New Roman" w:hAnsi="Times New Roman" w:cs="Times New Roman"/>
            <w:color w:val="1155CC"/>
            <w:sz w:val="28"/>
            <w:szCs w:val="28"/>
            <w:u w:val="single"/>
          </w:rPr>
          <w:t>“escalating like</w:t>
        </w:r>
        <w:r>
          <w:rPr>
            <w:rFonts w:ascii="Times New Roman" w:eastAsia="Times New Roman" w:hAnsi="Times New Roman" w:cs="Times New Roman"/>
            <w:color w:val="1155CC"/>
            <w:sz w:val="28"/>
            <w:szCs w:val="28"/>
            <w:u w:val="single"/>
          </w:rPr>
          <w:t xml:space="preserve"> never before,”</w:t>
        </w:r>
      </w:hyperlink>
      <w:r>
        <w:rPr>
          <w:rFonts w:ascii="Times New Roman" w:eastAsia="Times New Roman" w:hAnsi="Times New Roman" w:cs="Times New Roman"/>
          <w:sz w:val="28"/>
          <w:szCs w:val="28"/>
        </w:rPr>
        <w:t xml:space="preserve"> the Union of British Columbia Indian Chiefs (UBCIC) has warned. A </w:t>
      </w:r>
      <w:hyperlink r:id="rId9">
        <w:r>
          <w:rPr>
            <w:rFonts w:ascii="Times New Roman" w:eastAsia="Times New Roman" w:hAnsi="Times New Roman" w:cs="Times New Roman"/>
            <w:color w:val="1155CC"/>
            <w:sz w:val="28"/>
            <w:szCs w:val="28"/>
            <w:u w:val="single"/>
          </w:rPr>
          <w:t>series</w:t>
        </w:r>
      </w:hyperlink>
      <w:r>
        <w:rPr>
          <w:rFonts w:ascii="Times New Roman" w:eastAsia="Times New Roman" w:hAnsi="Times New Roman" w:cs="Times New Roman"/>
          <w:sz w:val="28"/>
          <w:szCs w:val="28"/>
        </w:rPr>
        <w:t xml:space="preserve"> of tragedies have rocked the city of Vancouver (</w:t>
      </w:r>
      <w:hyperlink r:id="rId10">
        <w:r>
          <w:rPr>
            <w:rFonts w:ascii="Times New Roman" w:eastAsia="Times New Roman" w:hAnsi="Times New Roman" w:cs="Times New Roman"/>
            <w:color w:val="1155CC"/>
            <w:sz w:val="28"/>
            <w:szCs w:val="28"/>
            <w:u w:val="single"/>
          </w:rPr>
          <w:t>unceded</w:t>
        </w:r>
      </w:hyperlink>
      <w:r>
        <w:rPr>
          <w:rFonts w:ascii="Times New Roman" w:eastAsia="Times New Roman" w:hAnsi="Times New Roman" w:cs="Times New Roman"/>
          <w:sz w:val="28"/>
          <w:szCs w:val="28"/>
        </w:rPr>
        <w:t xml:space="preserve"> Musqueam, Squamish, and Tsleil-Waututh lands) in recent months, including the discovery of the body of a 14-year-old Indigenous child, </w:t>
      </w:r>
      <w:hyperlink r:id="rId11">
        <w:r>
          <w:rPr>
            <w:rFonts w:ascii="Times New Roman" w:eastAsia="Times New Roman" w:hAnsi="Times New Roman" w:cs="Times New Roman"/>
            <w:color w:val="1155CC"/>
            <w:sz w:val="28"/>
            <w:szCs w:val="28"/>
            <w:u w:val="single"/>
          </w:rPr>
          <w:t xml:space="preserve">Noelle </w:t>
        </w:r>
        <w:proofErr w:type="spellStart"/>
        <w:r>
          <w:rPr>
            <w:rFonts w:ascii="Times New Roman" w:eastAsia="Times New Roman" w:hAnsi="Times New Roman" w:cs="Times New Roman"/>
            <w:color w:val="1155CC"/>
            <w:sz w:val="28"/>
            <w:szCs w:val="28"/>
            <w:u w:val="single"/>
          </w:rPr>
          <w:t>O’Soup</w:t>
        </w:r>
        <w:proofErr w:type="spellEnd"/>
      </w:hyperlink>
      <w:r>
        <w:rPr>
          <w:rFonts w:ascii="Times New Roman" w:eastAsia="Times New Roman" w:hAnsi="Times New Roman" w:cs="Times New Roman"/>
          <w:sz w:val="28"/>
          <w:szCs w:val="28"/>
        </w:rPr>
        <w:t>, in May.</w:t>
      </w:r>
    </w:p>
    <w:p w14:paraId="0000000A"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“Apathy and injustice prevail among the authorities while the intersecting crises of MMIWG2S+ [missing and murdered Indigenous women, girls, Two-Spirit, and others], the colonial chi</w:t>
      </w:r>
      <w:r>
        <w:rPr>
          <w:rFonts w:ascii="Times New Roman" w:eastAsia="Times New Roman" w:hAnsi="Times New Roman" w:cs="Times New Roman"/>
          <w:sz w:val="28"/>
          <w:szCs w:val="28"/>
        </w:rPr>
        <w:t xml:space="preserve">ld welfare system, homelessness, and the opioid crisis are literally killing our people,” said Kukpi7 (Chief) Judy Wilson, UBCIC secretary-treasurer, </w:t>
      </w:r>
      <w:hyperlink r:id="rId12">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a press release by the organization.</w:t>
      </w:r>
    </w:p>
    <w:p w14:paraId="0000000B"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Noelle </w:t>
      </w:r>
      <w:proofErr w:type="spellStart"/>
      <w:r>
        <w:rPr>
          <w:rFonts w:ascii="Times New Roman" w:eastAsia="Times New Roman" w:hAnsi="Times New Roman" w:cs="Times New Roman"/>
          <w:sz w:val="28"/>
          <w:szCs w:val="28"/>
        </w:rPr>
        <w:t>O’Soup</w:t>
      </w:r>
      <w:proofErr w:type="spellEnd"/>
      <w:r>
        <w:rPr>
          <w:rFonts w:ascii="Times New Roman" w:eastAsia="Times New Roman" w:hAnsi="Times New Roman" w:cs="Times New Roman"/>
          <w:sz w:val="28"/>
          <w:szCs w:val="28"/>
        </w:rPr>
        <w:t xml:space="preserve"> was </w:t>
      </w:r>
      <w:hyperlink r:id="rId13">
        <w:r>
          <w:rPr>
            <w:rFonts w:ascii="Times New Roman" w:eastAsia="Times New Roman" w:hAnsi="Times New Roman" w:cs="Times New Roman"/>
            <w:color w:val="1155CC"/>
            <w:sz w:val="28"/>
            <w:szCs w:val="28"/>
            <w:u w:val="single"/>
          </w:rPr>
          <w:t>found</w:t>
        </w:r>
      </w:hyperlink>
      <w:r>
        <w:rPr>
          <w:rFonts w:ascii="Times New Roman" w:eastAsia="Times New Roman" w:hAnsi="Times New Roman" w:cs="Times New Roman"/>
          <w:sz w:val="28"/>
          <w:szCs w:val="28"/>
        </w:rPr>
        <w:t xml:space="preserve"> in an apartment approximately a year after she went missing from a group ho</w:t>
      </w:r>
      <w:r>
        <w:rPr>
          <w:rFonts w:ascii="Times New Roman" w:eastAsia="Times New Roman" w:hAnsi="Times New Roman" w:cs="Times New Roman"/>
          <w:sz w:val="28"/>
          <w:szCs w:val="28"/>
        </w:rPr>
        <w:t xml:space="preserve">me in Port Coquitlam, while under the care of the Ministry of Children and Family Development (MCFD), British Columbia. Reports on the circumstances of her </w:t>
      </w:r>
      <w:hyperlink r:id="rId14">
        <w:r>
          <w:rPr>
            <w:rFonts w:ascii="Times New Roman" w:eastAsia="Times New Roman" w:hAnsi="Times New Roman" w:cs="Times New Roman"/>
            <w:color w:val="1155CC"/>
            <w:sz w:val="28"/>
            <w:szCs w:val="28"/>
            <w:u w:val="single"/>
          </w:rPr>
          <w:t>dis</w:t>
        </w:r>
        <w:r>
          <w:rPr>
            <w:rFonts w:ascii="Times New Roman" w:eastAsia="Times New Roman" w:hAnsi="Times New Roman" w:cs="Times New Roman"/>
            <w:color w:val="1155CC"/>
            <w:sz w:val="28"/>
            <w:szCs w:val="28"/>
            <w:u w:val="single"/>
          </w:rPr>
          <w:t>appearance</w:t>
        </w:r>
      </w:hyperlink>
      <w:r>
        <w:rPr>
          <w:rFonts w:ascii="Times New Roman" w:eastAsia="Times New Roman" w:hAnsi="Times New Roman" w:cs="Times New Roman"/>
          <w:sz w:val="28"/>
          <w:szCs w:val="28"/>
        </w:rPr>
        <w:t xml:space="preserve"> and the investigation into her death have revealed </w:t>
      </w:r>
      <w:hyperlink r:id="rId15">
        <w:r>
          <w:rPr>
            <w:rFonts w:ascii="Times New Roman" w:eastAsia="Times New Roman" w:hAnsi="Times New Roman" w:cs="Times New Roman"/>
            <w:color w:val="1155CC"/>
            <w:sz w:val="28"/>
            <w:szCs w:val="28"/>
            <w:u w:val="single"/>
          </w:rPr>
          <w:t>negligence</w:t>
        </w:r>
      </w:hyperlink>
      <w:r>
        <w:rPr>
          <w:rFonts w:ascii="Times New Roman" w:eastAsia="Times New Roman" w:hAnsi="Times New Roman" w:cs="Times New Roman"/>
          <w:sz w:val="28"/>
          <w:szCs w:val="28"/>
        </w:rPr>
        <w:t xml:space="preserve"> by both the police and the government. “The major investigative over</w:t>
      </w:r>
      <w:r>
        <w:rPr>
          <w:rFonts w:ascii="Times New Roman" w:eastAsia="Times New Roman" w:hAnsi="Times New Roman" w:cs="Times New Roman"/>
          <w:sz w:val="28"/>
          <w:szCs w:val="28"/>
        </w:rPr>
        <w:t xml:space="preserve">sight occurred despite multiple visits to, and apparent inspections </w:t>
      </w:r>
      <w:r>
        <w:rPr>
          <w:rFonts w:ascii="Times New Roman" w:eastAsia="Times New Roman" w:hAnsi="Times New Roman" w:cs="Times New Roman"/>
          <w:sz w:val="28"/>
          <w:szCs w:val="28"/>
        </w:rPr>
        <w:lastRenderedPageBreak/>
        <w:t xml:space="preserve">of, the single room occupancy unit where Noelle </w:t>
      </w:r>
      <w:proofErr w:type="spellStart"/>
      <w:r>
        <w:rPr>
          <w:rFonts w:ascii="Times New Roman" w:eastAsia="Times New Roman" w:hAnsi="Times New Roman" w:cs="Times New Roman"/>
          <w:sz w:val="28"/>
          <w:szCs w:val="28"/>
        </w:rPr>
        <w:t>O’Soup’s</w:t>
      </w:r>
      <w:proofErr w:type="spellEnd"/>
      <w:r>
        <w:rPr>
          <w:rFonts w:ascii="Times New Roman" w:eastAsia="Times New Roman" w:hAnsi="Times New Roman" w:cs="Times New Roman"/>
          <w:sz w:val="28"/>
          <w:szCs w:val="28"/>
        </w:rPr>
        <w:t xml:space="preserve"> remains would finally be discovered,” </w:t>
      </w:r>
      <w:hyperlink r:id="rId16">
        <w:r>
          <w:rPr>
            <w:rFonts w:ascii="Times New Roman" w:eastAsia="Times New Roman" w:hAnsi="Times New Roman" w:cs="Times New Roman"/>
            <w:color w:val="1155CC"/>
            <w:sz w:val="28"/>
            <w:szCs w:val="28"/>
            <w:u w:val="single"/>
          </w:rPr>
          <w:t>stated</w:t>
        </w:r>
      </w:hyperlink>
      <w:r>
        <w:rPr>
          <w:rFonts w:ascii="Times New Roman" w:eastAsia="Times New Roman" w:hAnsi="Times New Roman" w:cs="Times New Roman"/>
          <w:sz w:val="28"/>
          <w:szCs w:val="28"/>
        </w:rPr>
        <w:t xml:space="preserve"> Global News. Her case, unfortunately, is more the rule rather than the exception in Canada.</w:t>
      </w:r>
    </w:p>
    <w:p w14:paraId="0000000C" w14:textId="77777777" w:rsidR="00A91834" w:rsidRDefault="004C0FC7">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An Ongoing Genocide</w:t>
      </w:r>
    </w:p>
    <w:p w14:paraId="0000000D"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2019, the National Inquiry into Missing and Murdered Indigenous Women and Girls (NIMMIWG) released its </w:t>
      </w:r>
      <w:hyperlink r:id="rId17">
        <w:r>
          <w:rPr>
            <w:rFonts w:ascii="Times New Roman" w:eastAsia="Times New Roman" w:hAnsi="Times New Roman" w:cs="Times New Roman"/>
            <w:color w:val="1155CC"/>
            <w:sz w:val="28"/>
            <w:szCs w:val="28"/>
            <w:u w:val="single"/>
          </w:rPr>
          <w:t>final report</w:t>
        </w:r>
      </w:hyperlink>
      <w:r>
        <w:rPr>
          <w:rFonts w:ascii="Times New Roman" w:eastAsia="Times New Roman" w:hAnsi="Times New Roman" w:cs="Times New Roman"/>
          <w:sz w:val="28"/>
          <w:szCs w:val="28"/>
        </w:rPr>
        <w:t>, declaring that the violence against Indigenous women, girls, and 2SLGBTQQIA (Two-Spirit, lesbian, gay, bisexual, transgender, queer, questioning, intersex, and asexual) people amounted to “ge</w:t>
      </w:r>
      <w:r>
        <w:rPr>
          <w:rFonts w:ascii="Times New Roman" w:eastAsia="Times New Roman" w:hAnsi="Times New Roman" w:cs="Times New Roman"/>
          <w:sz w:val="28"/>
          <w:szCs w:val="28"/>
        </w:rPr>
        <w:t>nocide.”</w:t>
      </w:r>
    </w:p>
    <w:p w14:paraId="0000000E"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NIMMIWG </w:t>
      </w:r>
      <w:hyperlink r:id="rId18">
        <w:r>
          <w:rPr>
            <w:rFonts w:ascii="Times New Roman" w:eastAsia="Times New Roman" w:hAnsi="Times New Roman" w:cs="Times New Roman"/>
            <w:color w:val="1155CC"/>
            <w:sz w:val="28"/>
            <w:szCs w:val="28"/>
            <w:u w:val="single"/>
          </w:rPr>
          <w:t>emphasized</w:t>
        </w:r>
      </w:hyperlink>
      <w:r>
        <w:rPr>
          <w:rFonts w:ascii="Times New Roman" w:eastAsia="Times New Roman" w:hAnsi="Times New Roman" w:cs="Times New Roman"/>
          <w:sz w:val="28"/>
          <w:szCs w:val="28"/>
        </w:rPr>
        <w:t xml:space="preserve"> that this genocide had been “empowered by colonial structures evidenced notably by the Indian Act, the </w:t>
      </w:r>
      <w:hyperlink r:id="rId19">
        <w:r>
          <w:rPr>
            <w:rFonts w:ascii="Times New Roman" w:eastAsia="Times New Roman" w:hAnsi="Times New Roman" w:cs="Times New Roman"/>
            <w:color w:val="1155CC"/>
            <w:sz w:val="28"/>
            <w:szCs w:val="28"/>
            <w:u w:val="single"/>
          </w:rPr>
          <w:t>Sixties Scoop</w:t>
        </w:r>
      </w:hyperlink>
      <w:r>
        <w:rPr>
          <w:rFonts w:ascii="Times New Roman" w:eastAsia="Times New Roman" w:hAnsi="Times New Roman" w:cs="Times New Roman"/>
          <w:sz w:val="28"/>
          <w:szCs w:val="28"/>
        </w:rPr>
        <w:t>, residential schools, and breaches of human and Indigenous rights, leading directly to the current increased rates of violence, death, and suicide in Indigenous populations.”</w:t>
      </w:r>
    </w:p>
    <w:p w14:paraId="0000000F"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inquiry </w:t>
      </w:r>
      <w:hyperlink r:id="rId20">
        <w:r>
          <w:rPr>
            <w:rFonts w:ascii="Times New Roman" w:eastAsia="Times New Roman" w:hAnsi="Times New Roman" w:cs="Times New Roman"/>
            <w:color w:val="1155CC"/>
            <w:sz w:val="28"/>
            <w:szCs w:val="28"/>
            <w:u w:val="single"/>
          </w:rPr>
          <w:t>found</w:t>
        </w:r>
      </w:hyperlink>
      <w:r>
        <w:rPr>
          <w:rFonts w:ascii="Times New Roman" w:eastAsia="Times New Roman" w:hAnsi="Times New Roman" w:cs="Times New Roman"/>
          <w:sz w:val="28"/>
          <w:szCs w:val="28"/>
        </w:rPr>
        <w:t xml:space="preserve"> that “Indigenous women and girls are 12 times more likely to be murdered or [go] missing than any other women in Canada,” with the figure s</w:t>
      </w:r>
      <w:r>
        <w:rPr>
          <w:rFonts w:ascii="Times New Roman" w:eastAsia="Times New Roman" w:hAnsi="Times New Roman" w:cs="Times New Roman"/>
          <w:sz w:val="28"/>
          <w:szCs w:val="28"/>
        </w:rPr>
        <w:t>oaring to 16 times when compared to white women in the country.</w:t>
      </w:r>
    </w:p>
    <w:p w14:paraId="00000010"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hyperlink r:id="rId21">
        <w:r>
          <w:rPr>
            <w:rFonts w:ascii="Times New Roman" w:eastAsia="Times New Roman" w:hAnsi="Times New Roman" w:cs="Times New Roman"/>
            <w:color w:val="1155CC"/>
            <w:sz w:val="28"/>
            <w:szCs w:val="28"/>
            <w:u w:val="single"/>
          </w:rPr>
          <w:t>report</w:t>
        </w:r>
      </w:hyperlink>
      <w:r>
        <w:rPr>
          <w:rFonts w:ascii="Times New Roman" w:eastAsia="Times New Roman" w:hAnsi="Times New Roman" w:cs="Times New Roman"/>
          <w:sz w:val="28"/>
          <w:szCs w:val="28"/>
        </w:rPr>
        <w:t xml:space="preserve"> by Statistics Canada released in April 2022 stated that 56 percent of Indigenous women ha</w:t>
      </w:r>
      <w:r>
        <w:rPr>
          <w:rFonts w:ascii="Times New Roman" w:eastAsia="Times New Roman" w:hAnsi="Times New Roman" w:cs="Times New Roman"/>
          <w:sz w:val="28"/>
          <w:szCs w:val="28"/>
        </w:rPr>
        <w:t xml:space="preserve">ve experienced physical assault, while 46 percent have experienced sexual assault in their lifetime. Constituting approximately 5 percent of Canada’s population of women, Indigenous women accounted for 24 percent of all women homicide victims between 2015 </w:t>
      </w:r>
      <w:r>
        <w:rPr>
          <w:rFonts w:ascii="Times New Roman" w:eastAsia="Times New Roman" w:hAnsi="Times New Roman" w:cs="Times New Roman"/>
          <w:sz w:val="28"/>
          <w:szCs w:val="28"/>
        </w:rPr>
        <w:t xml:space="preserve">and 2020, </w:t>
      </w:r>
      <w:hyperlink r:id="rId22">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the Statistics Canada report.</w:t>
      </w:r>
    </w:p>
    <w:p w14:paraId="00000011"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likelihood of experiencing violence seems to be higher in cases where Indigenous women live in rural and </w:t>
      </w:r>
      <w:r>
        <w:rPr>
          <w:rFonts w:ascii="Times New Roman" w:eastAsia="Times New Roman" w:hAnsi="Times New Roman" w:cs="Times New Roman"/>
          <w:sz w:val="28"/>
          <w:szCs w:val="28"/>
        </w:rPr>
        <w:t xml:space="preserve">remote areas, if they have a </w:t>
      </w:r>
      <w:hyperlink r:id="rId23">
        <w:r>
          <w:rPr>
            <w:rFonts w:ascii="Times New Roman" w:eastAsia="Times New Roman" w:hAnsi="Times New Roman" w:cs="Times New Roman"/>
            <w:color w:val="1155CC"/>
            <w:sz w:val="28"/>
            <w:szCs w:val="28"/>
            <w:u w:val="single"/>
          </w:rPr>
          <w:t>disability</w:t>
        </w:r>
      </w:hyperlink>
      <w:r>
        <w:rPr>
          <w:rFonts w:ascii="Times New Roman" w:eastAsia="Times New Roman" w:hAnsi="Times New Roman" w:cs="Times New Roman"/>
          <w:sz w:val="28"/>
          <w:szCs w:val="28"/>
        </w:rPr>
        <w:t xml:space="preserve">, have experienced homelessness, or have been in government care—81 percent of Indigenous women who have been in the child </w:t>
      </w:r>
      <w:r>
        <w:rPr>
          <w:rFonts w:ascii="Times New Roman" w:eastAsia="Times New Roman" w:hAnsi="Times New Roman" w:cs="Times New Roman"/>
          <w:sz w:val="28"/>
          <w:szCs w:val="28"/>
        </w:rPr>
        <w:t xml:space="preserve">welfare system have been physically or sexually assaulted in their lifetime, </w:t>
      </w:r>
      <w:hyperlink r:id="rId24">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Statistics Canada.</w:t>
      </w:r>
    </w:p>
    <w:p w14:paraId="00000012"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“Across multiple generations, Indigenous peoples were</w:t>
      </w:r>
      <w:r>
        <w:rPr>
          <w:rFonts w:ascii="Times New Roman" w:eastAsia="Times New Roman" w:hAnsi="Times New Roman" w:cs="Times New Roman"/>
          <w:sz w:val="28"/>
          <w:szCs w:val="28"/>
        </w:rPr>
        <w:t xml:space="preserve"> and continue to be subjected to the detrimental harms of colonialism,” </w:t>
      </w:r>
      <w:hyperlink r:id="rId25">
        <w:r>
          <w:rPr>
            <w:rFonts w:ascii="Times New Roman" w:eastAsia="Times New Roman" w:hAnsi="Times New Roman" w:cs="Times New Roman"/>
            <w:color w:val="1155CC"/>
            <w:sz w:val="28"/>
            <w:szCs w:val="28"/>
            <w:u w:val="single"/>
          </w:rPr>
          <w:t>acknowledged</w:t>
        </w:r>
      </w:hyperlink>
      <w:r>
        <w:rPr>
          <w:rFonts w:ascii="Times New Roman" w:eastAsia="Times New Roman" w:hAnsi="Times New Roman" w:cs="Times New Roman"/>
          <w:sz w:val="28"/>
          <w:szCs w:val="28"/>
        </w:rPr>
        <w:t xml:space="preserve"> the report. Not only are Indigenous children </w:t>
      </w:r>
      <w:hyperlink r:id="rId26">
        <w:r>
          <w:rPr>
            <w:rFonts w:ascii="Times New Roman" w:eastAsia="Times New Roman" w:hAnsi="Times New Roman" w:cs="Times New Roman"/>
            <w:color w:val="1155CC"/>
            <w:sz w:val="28"/>
            <w:szCs w:val="28"/>
            <w:u w:val="single"/>
          </w:rPr>
          <w:t>disproportionately</w:t>
        </w:r>
      </w:hyperlink>
      <w:r>
        <w:rPr>
          <w:rFonts w:ascii="Times New Roman" w:eastAsia="Times New Roman" w:hAnsi="Times New Roman" w:cs="Times New Roman"/>
          <w:sz w:val="28"/>
          <w:szCs w:val="28"/>
        </w:rPr>
        <w:t xml:space="preserve"> represented in Canada’s child welfare system (52.2 percent), but advocates have also </w:t>
      </w:r>
      <w:hyperlink r:id="rId27">
        <w:r>
          <w:rPr>
            <w:rFonts w:ascii="Times New Roman" w:eastAsia="Times New Roman" w:hAnsi="Times New Roman" w:cs="Times New Roman"/>
            <w:color w:val="1155CC"/>
            <w:sz w:val="28"/>
            <w:szCs w:val="28"/>
            <w:u w:val="single"/>
          </w:rPr>
          <w:t>found</w:t>
        </w:r>
      </w:hyperlink>
      <w:r>
        <w:rPr>
          <w:rFonts w:ascii="Times New Roman" w:eastAsia="Times New Roman" w:hAnsi="Times New Roman" w:cs="Times New Roman"/>
          <w:sz w:val="28"/>
          <w:szCs w:val="28"/>
        </w:rPr>
        <w:t xml:space="preserve"> that mo</w:t>
      </w:r>
      <w:r>
        <w:rPr>
          <w:rFonts w:ascii="Times New Roman" w:eastAsia="Times New Roman" w:hAnsi="Times New Roman" w:cs="Times New Roman"/>
          <w:sz w:val="28"/>
          <w:szCs w:val="28"/>
        </w:rPr>
        <w:t xml:space="preserve">re children </w:t>
      </w:r>
      <w:r>
        <w:rPr>
          <w:rFonts w:ascii="Times New Roman" w:eastAsia="Times New Roman" w:hAnsi="Times New Roman" w:cs="Times New Roman"/>
          <w:sz w:val="28"/>
          <w:szCs w:val="28"/>
        </w:rPr>
        <w:lastRenderedPageBreak/>
        <w:t xml:space="preserve">have been forcibly separated from their families now than during the brutal Indian </w:t>
      </w:r>
      <w:hyperlink r:id="rId28">
        <w:r>
          <w:rPr>
            <w:rFonts w:ascii="Times New Roman" w:eastAsia="Times New Roman" w:hAnsi="Times New Roman" w:cs="Times New Roman"/>
            <w:color w:val="1155CC"/>
            <w:sz w:val="28"/>
            <w:szCs w:val="28"/>
            <w:u w:val="single"/>
          </w:rPr>
          <w:t>residential schools</w:t>
        </w:r>
      </w:hyperlink>
      <w:r>
        <w:rPr>
          <w:rFonts w:ascii="Times New Roman" w:eastAsia="Times New Roman" w:hAnsi="Times New Roman" w:cs="Times New Roman"/>
          <w:sz w:val="28"/>
          <w:szCs w:val="28"/>
        </w:rPr>
        <w:t xml:space="preserve"> period</w:t>
      </w:r>
      <w:r>
        <w:rPr>
          <w:rFonts w:ascii="Times New Roman" w:eastAsia="Times New Roman" w:hAnsi="Times New Roman" w:cs="Times New Roman"/>
          <w:sz w:val="28"/>
          <w:szCs w:val="28"/>
        </w:rPr>
        <w:t>.</w:t>
      </w:r>
    </w:p>
    <w:p w14:paraId="00000013"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Along with its final report, the NIMMIWG also made a key </w:t>
      </w:r>
      <w:hyperlink r:id="rId29">
        <w:r>
          <w:rPr>
            <w:rFonts w:ascii="Times New Roman" w:eastAsia="Times New Roman" w:hAnsi="Times New Roman" w:cs="Times New Roman"/>
            <w:color w:val="1155CC"/>
            <w:sz w:val="28"/>
            <w:szCs w:val="28"/>
            <w:u w:val="single"/>
          </w:rPr>
          <w:t>intervention</w:t>
        </w:r>
      </w:hyperlink>
      <w:r>
        <w:rPr>
          <w:rFonts w:ascii="Times New Roman" w:eastAsia="Times New Roman" w:hAnsi="Times New Roman" w:cs="Times New Roman"/>
          <w:sz w:val="28"/>
          <w:szCs w:val="28"/>
        </w:rPr>
        <w:t xml:space="preserve"> in prevailing </w:t>
      </w:r>
      <w:hyperlink r:id="rId30">
        <w:r>
          <w:rPr>
            <w:rFonts w:ascii="Times New Roman" w:eastAsia="Times New Roman" w:hAnsi="Times New Roman" w:cs="Times New Roman"/>
            <w:color w:val="1155CC"/>
            <w:sz w:val="28"/>
            <w:szCs w:val="28"/>
            <w:u w:val="single"/>
          </w:rPr>
          <w:t>definitions</w:t>
        </w:r>
      </w:hyperlink>
      <w:r>
        <w:rPr>
          <w:rFonts w:ascii="Times New Roman" w:eastAsia="Times New Roman" w:hAnsi="Times New Roman" w:cs="Times New Roman"/>
          <w:sz w:val="28"/>
          <w:szCs w:val="28"/>
        </w:rPr>
        <w:t xml:space="preserve"> of genocide, </w:t>
      </w:r>
      <w:hyperlink r:id="rId31">
        <w:r>
          <w:rPr>
            <w:rFonts w:ascii="Times New Roman" w:eastAsia="Times New Roman" w:hAnsi="Times New Roman" w:cs="Times New Roman"/>
            <w:color w:val="1155CC"/>
            <w:sz w:val="28"/>
            <w:szCs w:val="28"/>
            <w:u w:val="single"/>
          </w:rPr>
          <w:t>st</w:t>
        </w:r>
        <w:r>
          <w:rPr>
            <w:rFonts w:ascii="Times New Roman" w:eastAsia="Times New Roman" w:hAnsi="Times New Roman" w:cs="Times New Roman"/>
            <w:color w:val="1155CC"/>
            <w:sz w:val="28"/>
            <w:szCs w:val="28"/>
            <w:u w:val="single"/>
          </w:rPr>
          <w:t>ating</w:t>
        </w:r>
      </w:hyperlink>
      <w:r>
        <w:rPr>
          <w:rFonts w:ascii="Times New Roman" w:eastAsia="Times New Roman" w:hAnsi="Times New Roman" w:cs="Times New Roman"/>
          <w:sz w:val="28"/>
          <w:szCs w:val="28"/>
        </w:rPr>
        <w:t xml:space="preserve"> that “In actuality, genocide encompasses a variety of both lethal and non-lethal acts, including acts of ‘slow death,’ and all of these acts have very specific impacts on women and girls.”</w:t>
      </w:r>
    </w:p>
    <w:p w14:paraId="00000014"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“This reality must be acknowledged as a precursor to understa</w:t>
      </w:r>
      <w:r>
        <w:rPr>
          <w:rFonts w:ascii="Times New Roman" w:eastAsia="Times New Roman" w:hAnsi="Times New Roman" w:cs="Times New Roman"/>
          <w:sz w:val="28"/>
          <w:szCs w:val="28"/>
        </w:rPr>
        <w:t xml:space="preserve">nding genocide as a root cause of the violence against Indigenous women and girls in Canada,” the NIMMIWG </w:t>
      </w:r>
      <w:hyperlink r:id="rId32">
        <w:r>
          <w:rPr>
            <w:rFonts w:ascii="Times New Roman" w:eastAsia="Times New Roman" w:hAnsi="Times New Roman" w:cs="Times New Roman"/>
            <w:color w:val="1155CC"/>
            <w:sz w:val="28"/>
            <w:szCs w:val="28"/>
            <w:u w:val="single"/>
          </w:rPr>
          <w:t>added</w:t>
        </w:r>
      </w:hyperlink>
      <w:r>
        <w:rPr>
          <w:rFonts w:ascii="Times New Roman" w:eastAsia="Times New Roman" w:hAnsi="Times New Roman" w:cs="Times New Roman"/>
          <w:sz w:val="28"/>
          <w:szCs w:val="28"/>
        </w:rPr>
        <w:t>, “[n]</w:t>
      </w:r>
      <w:proofErr w:type="spellStart"/>
      <w:r>
        <w:rPr>
          <w:rFonts w:ascii="Times New Roman" w:eastAsia="Times New Roman" w:hAnsi="Times New Roman" w:cs="Times New Roman"/>
          <w:sz w:val="28"/>
          <w:szCs w:val="28"/>
        </w:rPr>
        <w:t>ot</w:t>
      </w:r>
      <w:proofErr w:type="spellEnd"/>
      <w:r>
        <w:rPr>
          <w:rFonts w:ascii="Times New Roman" w:eastAsia="Times New Roman" w:hAnsi="Times New Roman" w:cs="Times New Roman"/>
          <w:sz w:val="28"/>
          <w:szCs w:val="28"/>
        </w:rPr>
        <w:t xml:space="preserve"> only because of the genocidal</w:t>
      </w:r>
      <w:r>
        <w:rPr>
          <w:rFonts w:ascii="Times New Roman" w:eastAsia="Times New Roman" w:hAnsi="Times New Roman" w:cs="Times New Roman"/>
          <w:sz w:val="28"/>
          <w:szCs w:val="28"/>
        </w:rPr>
        <w:t xml:space="preserve"> acts that were and still are perpetrated against them, but also because of all the societal vulnerabilities it fosters, which leads to deaths and disappearances.”</w:t>
      </w:r>
    </w:p>
    <w:p w14:paraId="00000015" w14:textId="77777777" w:rsidR="00A91834" w:rsidRDefault="004C0FC7">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‘The Police </w:t>
      </w:r>
      <w:proofErr w:type="gramStart"/>
      <w:r>
        <w:rPr>
          <w:rFonts w:ascii="Times New Roman" w:eastAsia="Times New Roman" w:hAnsi="Times New Roman" w:cs="Times New Roman"/>
          <w:b/>
          <w:sz w:val="28"/>
          <w:szCs w:val="28"/>
        </w:rPr>
        <w:t>Don’t</w:t>
      </w:r>
      <w:proofErr w:type="gramEnd"/>
      <w:r>
        <w:rPr>
          <w:rFonts w:ascii="Times New Roman" w:eastAsia="Times New Roman" w:hAnsi="Times New Roman" w:cs="Times New Roman"/>
          <w:b/>
          <w:sz w:val="28"/>
          <w:szCs w:val="28"/>
        </w:rPr>
        <w:t xml:space="preserve"> Protect Us’</w:t>
      </w:r>
    </w:p>
    <w:p w14:paraId="00000016"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remains of Noelle </w:t>
      </w:r>
      <w:proofErr w:type="spellStart"/>
      <w:r>
        <w:rPr>
          <w:rFonts w:ascii="Times New Roman" w:eastAsia="Times New Roman" w:hAnsi="Times New Roman" w:cs="Times New Roman"/>
          <w:sz w:val="28"/>
          <w:szCs w:val="28"/>
        </w:rPr>
        <w:t>O’Soup</w:t>
      </w:r>
      <w:proofErr w:type="spellEnd"/>
      <w:r>
        <w:rPr>
          <w:rFonts w:ascii="Times New Roman" w:eastAsia="Times New Roman" w:hAnsi="Times New Roman" w:cs="Times New Roman"/>
          <w:sz w:val="28"/>
          <w:szCs w:val="28"/>
        </w:rPr>
        <w:t xml:space="preserve"> were found in Downtown Eastside (DTES), a neighborhood referred to as </w:t>
      </w:r>
      <w:hyperlink r:id="rId33">
        <w:r>
          <w:rPr>
            <w:rFonts w:ascii="Times New Roman" w:eastAsia="Times New Roman" w:hAnsi="Times New Roman" w:cs="Times New Roman"/>
            <w:color w:val="1155CC"/>
            <w:sz w:val="28"/>
            <w:szCs w:val="28"/>
            <w:u w:val="single"/>
          </w:rPr>
          <w:t>“ground zero”</w:t>
        </w:r>
      </w:hyperlink>
      <w:r>
        <w:rPr>
          <w:rFonts w:ascii="Times New Roman" w:eastAsia="Times New Roman" w:hAnsi="Times New Roman" w:cs="Times New Roman"/>
          <w:sz w:val="28"/>
          <w:szCs w:val="28"/>
        </w:rPr>
        <w:t xml:space="preserve"> for violence ag</w:t>
      </w:r>
      <w:r>
        <w:rPr>
          <w:rFonts w:ascii="Times New Roman" w:eastAsia="Times New Roman" w:hAnsi="Times New Roman" w:cs="Times New Roman"/>
          <w:sz w:val="28"/>
          <w:szCs w:val="28"/>
        </w:rPr>
        <w:t xml:space="preserve">ainst Indigenous women. Residents face </w:t>
      </w:r>
      <w:hyperlink r:id="rId34">
        <w:r>
          <w:rPr>
            <w:rFonts w:ascii="Times New Roman" w:eastAsia="Times New Roman" w:hAnsi="Times New Roman" w:cs="Times New Roman"/>
            <w:color w:val="1155CC"/>
            <w:sz w:val="28"/>
            <w:szCs w:val="28"/>
            <w:u w:val="single"/>
          </w:rPr>
          <w:t>disproportionate levels</w:t>
        </w:r>
      </w:hyperlink>
      <w:r>
        <w:rPr>
          <w:rFonts w:ascii="Times New Roman" w:eastAsia="Times New Roman" w:hAnsi="Times New Roman" w:cs="Times New Roman"/>
          <w:sz w:val="28"/>
          <w:szCs w:val="28"/>
        </w:rPr>
        <w:t xml:space="preserve"> of “manufactured and enforced violence, poverty, homelessness, child apprehension, criminalizati</w:t>
      </w:r>
      <w:r>
        <w:rPr>
          <w:rFonts w:ascii="Times New Roman" w:eastAsia="Times New Roman" w:hAnsi="Times New Roman" w:cs="Times New Roman"/>
          <w:sz w:val="28"/>
          <w:szCs w:val="28"/>
        </w:rPr>
        <w:t>on, and fatal overdoses.”</w:t>
      </w:r>
    </w:p>
    <w:p w14:paraId="00000017"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Approximately </w:t>
      </w:r>
      <w:hyperlink r:id="rId35">
        <w:r>
          <w:rPr>
            <w:rFonts w:ascii="Times New Roman" w:eastAsia="Times New Roman" w:hAnsi="Times New Roman" w:cs="Times New Roman"/>
            <w:color w:val="1155CC"/>
            <w:sz w:val="28"/>
            <w:szCs w:val="28"/>
            <w:u w:val="single"/>
          </w:rPr>
          <w:t>8,000</w:t>
        </w:r>
      </w:hyperlink>
      <w:r>
        <w:rPr>
          <w:rFonts w:ascii="Times New Roman" w:eastAsia="Times New Roman" w:hAnsi="Times New Roman" w:cs="Times New Roman"/>
          <w:sz w:val="28"/>
          <w:szCs w:val="28"/>
        </w:rPr>
        <w:t xml:space="preserve"> women live and work in DTES, where the rates of </w:t>
      </w:r>
      <w:hyperlink r:id="rId36">
        <w:r>
          <w:rPr>
            <w:rFonts w:ascii="Times New Roman" w:eastAsia="Times New Roman" w:hAnsi="Times New Roman" w:cs="Times New Roman"/>
            <w:color w:val="1155CC"/>
            <w:sz w:val="28"/>
            <w:szCs w:val="28"/>
            <w:u w:val="single"/>
          </w:rPr>
          <w:t>violence</w:t>
        </w:r>
      </w:hyperlink>
      <w:r>
        <w:rPr>
          <w:rFonts w:ascii="Times New Roman" w:eastAsia="Times New Roman" w:hAnsi="Times New Roman" w:cs="Times New Roman"/>
          <w:sz w:val="28"/>
          <w:szCs w:val="28"/>
        </w:rPr>
        <w:t xml:space="preserve"> have been more than double compared to the rest of Vancouver, according to data provided by the police.</w:t>
      </w:r>
    </w:p>
    <w:p w14:paraId="00000018"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Indigenous women have an acute vulnerability to violence, and yet the institutional response has been to stigmatize the women in DT</w:t>
      </w:r>
      <w:r>
        <w:rPr>
          <w:rFonts w:ascii="Times New Roman" w:eastAsia="Times New Roman" w:hAnsi="Times New Roman" w:cs="Times New Roman"/>
          <w:sz w:val="28"/>
          <w:szCs w:val="28"/>
        </w:rPr>
        <w:t xml:space="preserve">ES for having </w:t>
      </w:r>
      <w:hyperlink r:id="rId37">
        <w:r>
          <w:rPr>
            <w:rFonts w:ascii="Times New Roman" w:eastAsia="Times New Roman" w:hAnsi="Times New Roman" w:cs="Times New Roman"/>
            <w:color w:val="1155CC"/>
            <w:sz w:val="28"/>
            <w:szCs w:val="28"/>
            <w:u w:val="single"/>
          </w:rPr>
          <w:t>“high-risk lifestyles.”</w:t>
        </w:r>
      </w:hyperlink>
    </w:p>
    <w:p w14:paraId="00000019"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“Harmful stereotypes that are perpetuated against Indigenous women are used as an ongoing tool of colonization to enforce</w:t>
      </w:r>
      <w:r>
        <w:rPr>
          <w:rFonts w:ascii="Times New Roman" w:eastAsia="Times New Roman" w:hAnsi="Times New Roman" w:cs="Times New Roman"/>
          <w:sz w:val="28"/>
          <w:szCs w:val="28"/>
        </w:rPr>
        <w:t xml:space="preserve"> their vulnerability to violence,” stated Christine Wilson, director of Indigenous Advocacy at the Downtown Eastside Women’s Center (DEWC), in an interview with Peoples Dispatch.</w:t>
      </w:r>
    </w:p>
    <w:p w14:paraId="0000001A"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2019, the DEWC published </w:t>
      </w:r>
      <w:hyperlink r:id="rId38">
        <w:r>
          <w:rPr>
            <w:rFonts w:ascii="Times New Roman" w:eastAsia="Times New Roman" w:hAnsi="Times New Roman" w:cs="Times New Roman"/>
            <w:color w:val="1155CC"/>
            <w:sz w:val="28"/>
            <w:szCs w:val="28"/>
            <w:u w:val="single"/>
          </w:rPr>
          <w:t>“Red Women Rising,”</w:t>
        </w:r>
      </w:hyperlink>
      <w:r>
        <w:rPr>
          <w:rFonts w:ascii="Times New Roman" w:eastAsia="Times New Roman" w:hAnsi="Times New Roman" w:cs="Times New Roman"/>
          <w:sz w:val="28"/>
          <w:szCs w:val="28"/>
        </w:rPr>
        <w:t xml:space="preserve"> a historic report produced in direct collaboration with 113 Indigenous survivors of violence and 15 non-Indigenous women in the DTES who knew Indigenous women who have experienced violence</w:t>
      </w:r>
      <w:r>
        <w:rPr>
          <w:rFonts w:ascii="Times New Roman" w:eastAsia="Times New Roman" w:hAnsi="Times New Roman" w:cs="Times New Roman"/>
          <w:sz w:val="28"/>
          <w:szCs w:val="28"/>
        </w:rPr>
        <w:t xml:space="preserve">, have gone missing, or have overdosed. “Red Women </w:t>
      </w:r>
      <w:r>
        <w:rPr>
          <w:rFonts w:ascii="Times New Roman" w:eastAsia="Times New Roman" w:hAnsi="Times New Roman" w:cs="Times New Roman"/>
          <w:sz w:val="28"/>
          <w:szCs w:val="28"/>
        </w:rPr>
        <w:lastRenderedPageBreak/>
        <w:t xml:space="preserve">Rising” </w:t>
      </w:r>
      <w:proofErr w:type="gramStart"/>
      <w:r>
        <w:rPr>
          <w:rFonts w:ascii="Times New Roman" w:eastAsia="Times New Roman" w:hAnsi="Times New Roman" w:cs="Times New Roman"/>
          <w:sz w:val="28"/>
          <w:szCs w:val="28"/>
        </w:rPr>
        <w:t>was published</w:t>
      </w:r>
      <w:proofErr w:type="gramEnd"/>
      <w:r>
        <w:rPr>
          <w:rFonts w:ascii="Times New Roman" w:eastAsia="Times New Roman" w:hAnsi="Times New Roman" w:cs="Times New Roman"/>
          <w:sz w:val="28"/>
          <w:szCs w:val="28"/>
        </w:rPr>
        <w:t xml:space="preserve"> in response to the final report of the NIMMIWG.</w:t>
      </w:r>
    </w:p>
    <w:p w14:paraId="0000001B"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Echoing the argument put forth in </w:t>
      </w:r>
      <w:hyperlink r:id="rId39">
        <w:r>
          <w:rPr>
            <w:rFonts w:ascii="Times New Roman" w:eastAsia="Times New Roman" w:hAnsi="Times New Roman" w:cs="Times New Roman"/>
            <w:color w:val="1155CC"/>
            <w:sz w:val="28"/>
            <w:szCs w:val="28"/>
            <w:u w:val="single"/>
          </w:rPr>
          <w:t>“Red</w:t>
        </w:r>
        <w:r>
          <w:rPr>
            <w:rFonts w:ascii="Times New Roman" w:eastAsia="Times New Roman" w:hAnsi="Times New Roman" w:cs="Times New Roman"/>
            <w:color w:val="1155CC"/>
            <w:sz w:val="28"/>
            <w:szCs w:val="28"/>
            <w:u w:val="single"/>
          </w:rPr>
          <w:t xml:space="preserve"> Women Rising,”</w:t>
        </w:r>
      </w:hyperlink>
      <w:r>
        <w:rPr>
          <w:rFonts w:ascii="Times New Roman" w:eastAsia="Times New Roman" w:hAnsi="Times New Roman" w:cs="Times New Roman"/>
          <w:sz w:val="28"/>
          <w:szCs w:val="28"/>
        </w:rPr>
        <w:t xml:space="preserve"> Wilson reiterated that “the criminal justice system constructs Indigenous women as ‘risks’ that need to be contained, which leaves them unsafe and exacerbates inequalities.” Widespread </w:t>
      </w:r>
      <w:hyperlink r:id="rId40">
        <w:r>
          <w:rPr>
            <w:rFonts w:ascii="Times New Roman" w:eastAsia="Times New Roman" w:hAnsi="Times New Roman" w:cs="Times New Roman"/>
            <w:color w:val="1155CC"/>
            <w:sz w:val="28"/>
            <w:szCs w:val="28"/>
            <w:u w:val="single"/>
          </w:rPr>
          <w:t>bias</w:t>
        </w:r>
      </w:hyperlink>
      <w:r>
        <w:rPr>
          <w:rFonts w:ascii="Times New Roman" w:eastAsia="Times New Roman" w:hAnsi="Times New Roman" w:cs="Times New Roman"/>
          <w:sz w:val="28"/>
          <w:szCs w:val="28"/>
        </w:rPr>
        <w:t xml:space="preserve"> within the policing system has not only influenced whether police take Indigenous women’s complaints seriously, Wilson explained, but also whether Indigenous women approach the police at all</w:t>
      </w:r>
      <w:r>
        <w:rPr>
          <w:rFonts w:ascii="Times New Roman" w:eastAsia="Times New Roman" w:hAnsi="Times New Roman" w:cs="Times New Roman"/>
          <w:sz w:val="28"/>
          <w:szCs w:val="28"/>
        </w:rPr>
        <w:t>.</w:t>
      </w:r>
    </w:p>
    <w:p w14:paraId="0000001C"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police don’t protect us; they harass us,” stated DJ Joe, a resident of DTES, in the </w:t>
      </w:r>
      <w:hyperlink r:id="rId41">
        <w:r>
          <w:rPr>
            <w:rFonts w:ascii="Times New Roman" w:eastAsia="Times New Roman" w:hAnsi="Times New Roman" w:cs="Times New Roman"/>
            <w:color w:val="1155CC"/>
            <w:sz w:val="28"/>
            <w:szCs w:val="28"/>
            <w:u w:val="single"/>
          </w:rPr>
          <w:t>report</w:t>
        </w:r>
      </w:hyperlink>
      <w:r>
        <w:rPr>
          <w:rFonts w:ascii="Times New Roman" w:eastAsia="Times New Roman" w:hAnsi="Times New Roman" w:cs="Times New Roman"/>
          <w:sz w:val="28"/>
          <w:szCs w:val="28"/>
        </w:rPr>
        <w:t xml:space="preserve"> by DEWC. “Native women face so much </w:t>
      </w:r>
      <w:proofErr w:type="gramStart"/>
      <w:r>
        <w:rPr>
          <w:rFonts w:ascii="Times New Roman" w:eastAsia="Times New Roman" w:hAnsi="Times New Roman" w:cs="Times New Roman"/>
          <w:sz w:val="28"/>
          <w:szCs w:val="28"/>
        </w:rPr>
        <w:t>violence</w:t>
      </w:r>
      <w:proofErr w:type="gramEnd"/>
      <w:r>
        <w:rPr>
          <w:rFonts w:ascii="Times New Roman" w:eastAsia="Times New Roman" w:hAnsi="Times New Roman" w:cs="Times New Roman"/>
          <w:sz w:val="28"/>
          <w:szCs w:val="28"/>
        </w:rPr>
        <w:t xml:space="preserve"> but no one belie</w:t>
      </w:r>
      <w:r>
        <w:rPr>
          <w:rFonts w:ascii="Times New Roman" w:eastAsia="Times New Roman" w:hAnsi="Times New Roman" w:cs="Times New Roman"/>
          <w:sz w:val="28"/>
          <w:szCs w:val="28"/>
        </w:rPr>
        <w:t>ves a Native woman when she reports violence.”</w:t>
      </w:r>
    </w:p>
    <w:p w14:paraId="0000001D"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cases involving missing or murdered women, there is a </w:t>
      </w:r>
      <w:hyperlink r:id="rId42">
        <w:r>
          <w:rPr>
            <w:rFonts w:ascii="Times New Roman" w:eastAsia="Times New Roman" w:hAnsi="Times New Roman" w:cs="Times New Roman"/>
            <w:color w:val="1155CC"/>
            <w:sz w:val="28"/>
            <w:szCs w:val="28"/>
            <w:u w:val="single"/>
          </w:rPr>
          <w:t>lack of proper investigation</w:t>
        </w:r>
      </w:hyperlink>
      <w:r>
        <w:rPr>
          <w:rFonts w:ascii="Times New Roman" w:eastAsia="Times New Roman" w:hAnsi="Times New Roman" w:cs="Times New Roman"/>
          <w:sz w:val="28"/>
          <w:szCs w:val="28"/>
        </w:rPr>
        <w:t xml:space="preserve"> and adequate resources, Wilson stated, adding that family members of victims we</w:t>
      </w:r>
      <w:r>
        <w:rPr>
          <w:rFonts w:ascii="Times New Roman" w:eastAsia="Times New Roman" w:hAnsi="Times New Roman" w:cs="Times New Roman"/>
          <w:sz w:val="28"/>
          <w:szCs w:val="28"/>
        </w:rPr>
        <w:t>re subjected to insensitive and offensive treatment, alongside general jurisdictional confusion and lack of coordination among the police.</w:t>
      </w:r>
    </w:p>
    <w:p w14:paraId="0000001E"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Police have also been actively hostile and </w:t>
      </w:r>
      <w:hyperlink r:id="rId43">
        <w:r>
          <w:rPr>
            <w:rFonts w:ascii="Times New Roman" w:eastAsia="Times New Roman" w:hAnsi="Times New Roman" w:cs="Times New Roman"/>
            <w:color w:val="1155CC"/>
            <w:sz w:val="28"/>
            <w:szCs w:val="28"/>
            <w:u w:val="single"/>
          </w:rPr>
          <w:t>abusive</w:t>
        </w:r>
      </w:hyperlink>
      <w:r>
        <w:rPr>
          <w:rFonts w:ascii="Times New Roman" w:eastAsia="Times New Roman" w:hAnsi="Times New Roman" w:cs="Times New Roman"/>
          <w:sz w:val="28"/>
          <w:szCs w:val="28"/>
        </w:rPr>
        <w:t xml:space="preserve"> toward Indigenous women in Canada. They continue to be </w:t>
      </w:r>
      <w:hyperlink r:id="rId44">
        <w:r>
          <w:rPr>
            <w:rFonts w:ascii="Times New Roman" w:eastAsia="Times New Roman" w:hAnsi="Times New Roman" w:cs="Times New Roman"/>
            <w:color w:val="1155CC"/>
            <w:sz w:val="28"/>
            <w:szCs w:val="28"/>
            <w:u w:val="single"/>
          </w:rPr>
          <w:t>targets</w:t>
        </w:r>
      </w:hyperlink>
      <w:r>
        <w:rPr>
          <w:rFonts w:ascii="Times New Roman" w:eastAsia="Times New Roman" w:hAnsi="Times New Roman" w:cs="Times New Roman"/>
          <w:sz w:val="28"/>
          <w:szCs w:val="28"/>
        </w:rPr>
        <w:t xml:space="preserve"> of sexual violence by police forces, particularly the Royal Canadian Mounted Police (RCMP), which has been deployed on contract policing services in 600 Indigenous communities.</w:t>
      </w:r>
    </w:p>
    <w:p w14:paraId="0000001F"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Lack of police and judicial protection also </w:t>
      </w:r>
      <w:r>
        <w:rPr>
          <w:rFonts w:ascii="Times New Roman" w:eastAsia="Times New Roman" w:hAnsi="Times New Roman" w:cs="Times New Roman"/>
          <w:sz w:val="28"/>
          <w:szCs w:val="28"/>
        </w:rPr>
        <w:t xml:space="preserve">overlaps with </w:t>
      </w:r>
      <w:hyperlink r:id="rId45">
        <w:r>
          <w:rPr>
            <w:rFonts w:ascii="Times New Roman" w:eastAsia="Times New Roman" w:hAnsi="Times New Roman" w:cs="Times New Roman"/>
            <w:color w:val="1155CC"/>
            <w:sz w:val="28"/>
            <w:szCs w:val="28"/>
            <w:u w:val="single"/>
          </w:rPr>
          <w:t>criminalization</w:t>
        </w:r>
      </w:hyperlink>
      <w:r>
        <w:rPr>
          <w:rFonts w:ascii="Times New Roman" w:eastAsia="Times New Roman" w:hAnsi="Times New Roman" w:cs="Times New Roman"/>
          <w:sz w:val="28"/>
          <w:szCs w:val="28"/>
        </w:rPr>
        <w:t xml:space="preserve">, thereby exacerbating violence against Indigenous women and girls. Wilson added, “Indigenous women are more likely to </w:t>
      </w:r>
      <w:r>
        <w:rPr>
          <w:rFonts w:ascii="Times New Roman" w:eastAsia="Times New Roman" w:hAnsi="Times New Roman" w:cs="Times New Roman"/>
          <w:sz w:val="28"/>
          <w:szCs w:val="28"/>
        </w:rPr>
        <w:t>be violently attacked by their abusers and then more likely to be counter-charged by the police, compared to non-Indigenous women.”</w:t>
      </w:r>
    </w:p>
    <w:p w14:paraId="00000020"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Colonial Patriarchy Poses the Highest Risk</w:t>
      </w:r>
    </w:p>
    <w:p w14:paraId="00000021"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“Red Women Rising” </w:t>
      </w:r>
      <w:hyperlink r:id="rId46">
        <w:r>
          <w:rPr>
            <w:rFonts w:ascii="Times New Roman" w:eastAsia="Times New Roman" w:hAnsi="Times New Roman" w:cs="Times New Roman"/>
            <w:color w:val="1155CC"/>
            <w:sz w:val="28"/>
            <w:szCs w:val="28"/>
            <w:u w:val="single"/>
          </w:rPr>
          <w:t>outlined</w:t>
        </w:r>
      </w:hyperlink>
      <w:r>
        <w:rPr>
          <w:rFonts w:ascii="Times New Roman" w:eastAsia="Times New Roman" w:hAnsi="Times New Roman" w:cs="Times New Roman"/>
          <w:sz w:val="28"/>
          <w:szCs w:val="28"/>
        </w:rPr>
        <w:t>, “Settler-colonialism intentionally targets Indigenous women in order to destroy families, sever the connection to land-based practices and economies, and devastate relational governance of Indigenous nations.</w:t>
      </w:r>
      <w:r>
        <w:rPr>
          <w:rFonts w:ascii="Times New Roman" w:eastAsia="Times New Roman" w:hAnsi="Times New Roman" w:cs="Times New Roman"/>
          <w:sz w:val="28"/>
          <w:szCs w:val="28"/>
        </w:rPr>
        <w:t>”</w:t>
      </w:r>
    </w:p>
    <w:p w14:paraId="00000022"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report identified “[m]</w:t>
      </w:r>
      <w:proofErr w:type="spellStart"/>
      <w:r>
        <w:rPr>
          <w:rFonts w:ascii="Times New Roman" w:eastAsia="Times New Roman" w:hAnsi="Times New Roman" w:cs="Times New Roman"/>
          <w:sz w:val="28"/>
          <w:szCs w:val="28"/>
        </w:rPr>
        <w:t>ultiplying</w:t>
      </w:r>
      <w:proofErr w:type="spellEnd"/>
      <w:r>
        <w:rPr>
          <w:rFonts w:ascii="Times New Roman" w:eastAsia="Times New Roman" w:hAnsi="Times New Roman" w:cs="Times New Roman"/>
          <w:sz w:val="28"/>
          <w:szCs w:val="28"/>
        </w:rPr>
        <w:t xml:space="preserve"> socioeconomic oppressions within colonialism,” including loss of land, family violence, child apprehension, and </w:t>
      </w:r>
      <w:r>
        <w:rPr>
          <w:rFonts w:ascii="Times New Roman" w:eastAsia="Times New Roman" w:hAnsi="Times New Roman" w:cs="Times New Roman"/>
          <w:sz w:val="28"/>
          <w:szCs w:val="28"/>
        </w:rPr>
        <w:lastRenderedPageBreak/>
        <w:t>inadequate services, which worked to displace Indigenous women and children from their home communities.</w:t>
      </w:r>
    </w:p>
    <w:p w14:paraId="00000023"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Forty-two percent of women living on reserves lived in houses requiring major repairs, according to the </w:t>
      </w:r>
      <w:hyperlink r:id="rId47">
        <w:r>
          <w:rPr>
            <w:rFonts w:ascii="Times New Roman" w:eastAsia="Times New Roman" w:hAnsi="Times New Roman" w:cs="Times New Roman"/>
            <w:color w:val="1155CC"/>
            <w:sz w:val="28"/>
            <w:szCs w:val="28"/>
            <w:u w:val="single"/>
          </w:rPr>
          <w:t>report</w:t>
        </w:r>
      </w:hyperlink>
      <w:r>
        <w:rPr>
          <w:rFonts w:ascii="Times New Roman" w:eastAsia="Times New Roman" w:hAnsi="Times New Roman" w:cs="Times New Roman"/>
          <w:sz w:val="28"/>
          <w:szCs w:val="28"/>
        </w:rPr>
        <w:t>, and nearly one-third of all on-reserve homes in</w:t>
      </w:r>
      <w:r>
        <w:rPr>
          <w:rFonts w:ascii="Times New Roman" w:eastAsia="Times New Roman" w:hAnsi="Times New Roman" w:cs="Times New Roman"/>
          <w:sz w:val="28"/>
          <w:szCs w:val="28"/>
        </w:rPr>
        <w:t xml:space="preserve"> Canada were food insecure, with the figure soaring to 90 percent in some areas. Meanwhile, 64 percent of Indigenous women lived off-reserve, in areas such as DTES.</w:t>
      </w:r>
    </w:p>
    <w:p w14:paraId="00000024"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Displacement is </w:t>
      </w:r>
      <w:proofErr w:type="gramStart"/>
      <w:r>
        <w:rPr>
          <w:rFonts w:ascii="Times New Roman" w:eastAsia="Times New Roman" w:hAnsi="Times New Roman" w:cs="Times New Roman"/>
          <w:sz w:val="28"/>
          <w:szCs w:val="28"/>
        </w:rPr>
        <w:t>closely linked</w:t>
      </w:r>
      <w:proofErr w:type="gramEnd"/>
      <w:r>
        <w:rPr>
          <w:rFonts w:ascii="Times New Roman" w:eastAsia="Times New Roman" w:hAnsi="Times New Roman" w:cs="Times New Roman"/>
          <w:sz w:val="28"/>
          <w:szCs w:val="28"/>
        </w:rPr>
        <w:t xml:space="preserve"> to housing insecurity, with all members of DEWC having exper</w:t>
      </w:r>
      <w:r>
        <w:rPr>
          <w:rFonts w:ascii="Times New Roman" w:eastAsia="Times New Roman" w:hAnsi="Times New Roman" w:cs="Times New Roman"/>
          <w:sz w:val="28"/>
          <w:szCs w:val="28"/>
        </w:rPr>
        <w:t>ienced homelessness at some point in their lives.</w:t>
      </w:r>
    </w:p>
    <w:p w14:paraId="00000025"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violence that Indigenous women face is tied to poverty, which in turn “magnifies vulnerability to abusive relationships, sexual assault, child apprehension, exploitative work conditions, [and] unsafe ho</w:t>
      </w:r>
      <w:r>
        <w:rPr>
          <w:rFonts w:ascii="Times New Roman" w:eastAsia="Times New Roman" w:hAnsi="Times New Roman" w:cs="Times New Roman"/>
          <w:sz w:val="28"/>
          <w:szCs w:val="28"/>
        </w:rPr>
        <w:t xml:space="preserve">using,” </w:t>
      </w:r>
      <w:hyperlink r:id="rId48">
        <w:r>
          <w:rPr>
            <w:rFonts w:ascii="Times New Roman" w:eastAsia="Times New Roman" w:hAnsi="Times New Roman" w:cs="Times New Roman"/>
            <w:color w:val="1155CC"/>
            <w:sz w:val="28"/>
            <w:szCs w:val="28"/>
            <w:u w:val="single"/>
          </w:rPr>
          <w:t>stated</w:t>
        </w:r>
      </w:hyperlink>
      <w:r>
        <w:rPr>
          <w:rFonts w:ascii="Times New Roman" w:eastAsia="Times New Roman" w:hAnsi="Times New Roman" w:cs="Times New Roman"/>
          <w:sz w:val="28"/>
          <w:szCs w:val="28"/>
        </w:rPr>
        <w:t xml:space="preserve"> the “Red Women Rising” report.</w:t>
      </w:r>
    </w:p>
    <w:p w14:paraId="00000026"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Not only are Indigenous women disproportionately </w:t>
      </w:r>
      <w:hyperlink r:id="rId49">
        <w:r>
          <w:rPr>
            <w:rFonts w:ascii="Times New Roman" w:eastAsia="Times New Roman" w:hAnsi="Times New Roman" w:cs="Times New Roman"/>
            <w:color w:val="1155CC"/>
            <w:sz w:val="28"/>
            <w:szCs w:val="28"/>
            <w:u w:val="single"/>
          </w:rPr>
          <w:t>criminalized</w:t>
        </w:r>
      </w:hyperlink>
      <w:r>
        <w:rPr>
          <w:rFonts w:ascii="Times New Roman" w:eastAsia="Times New Roman" w:hAnsi="Times New Roman" w:cs="Times New Roman"/>
          <w:sz w:val="28"/>
          <w:szCs w:val="28"/>
        </w:rPr>
        <w:t xml:space="preserve"> for “poverty-related crimes,” but Indigenous families are also investigated for “poverty-related ‘neglect’” eight times more as compared to non-Indigenous families. “[H]</w:t>
      </w:r>
      <w:proofErr w:type="spellStart"/>
      <w:r>
        <w:rPr>
          <w:rFonts w:ascii="Times New Roman" w:eastAsia="Times New Roman" w:hAnsi="Times New Roman" w:cs="Times New Roman"/>
          <w:sz w:val="28"/>
          <w:szCs w:val="28"/>
        </w:rPr>
        <w:t>igher</w:t>
      </w:r>
      <w:proofErr w:type="spellEnd"/>
      <w:r>
        <w:rPr>
          <w:rFonts w:ascii="Times New Roman" w:eastAsia="Times New Roman" w:hAnsi="Times New Roman" w:cs="Times New Roman"/>
          <w:sz w:val="28"/>
          <w:szCs w:val="28"/>
        </w:rPr>
        <w:t xml:space="preserve"> stressors associated with living in</w:t>
      </w:r>
      <w:r>
        <w:rPr>
          <w:rFonts w:ascii="Times New Roman" w:eastAsia="Times New Roman" w:hAnsi="Times New Roman" w:cs="Times New Roman"/>
          <w:sz w:val="28"/>
          <w:szCs w:val="28"/>
        </w:rPr>
        <w:t xml:space="preserve"> systemic poverty such as drug dependence and participation in street economies are used against Indigenous women in order to apprehend Indigenous children, thus perpetuating the colonial cycle of trauma and impoverishment,” the report </w:t>
      </w:r>
      <w:hyperlink r:id="rId50">
        <w:r>
          <w:rPr>
            <w:rFonts w:ascii="Times New Roman" w:eastAsia="Times New Roman" w:hAnsi="Times New Roman" w:cs="Times New Roman"/>
            <w:color w:val="1155CC"/>
            <w:sz w:val="28"/>
            <w:szCs w:val="28"/>
            <w:u w:val="single"/>
          </w:rPr>
          <w:t>pointed out</w:t>
        </w:r>
      </w:hyperlink>
      <w:r>
        <w:rPr>
          <w:rFonts w:ascii="Times New Roman" w:eastAsia="Times New Roman" w:hAnsi="Times New Roman" w:cs="Times New Roman"/>
          <w:sz w:val="28"/>
          <w:szCs w:val="28"/>
        </w:rPr>
        <w:t>.</w:t>
      </w:r>
    </w:p>
    <w:p w14:paraId="00000027"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a result, activists </w:t>
      </w:r>
      <w:hyperlink r:id="rId51">
        <w:r>
          <w:rPr>
            <w:rFonts w:ascii="Times New Roman" w:eastAsia="Times New Roman" w:hAnsi="Times New Roman" w:cs="Times New Roman"/>
            <w:color w:val="1155CC"/>
            <w:sz w:val="28"/>
            <w:szCs w:val="28"/>
            <w:u w:val="single"/>
          </w:rPr>
          <w:t>argue</w:t>
        </w:r>
      </w:hyperlink>
      <w:r>
        <w:rPr>
          <w:rFonts w:ascii="Times New Roman" w:eastAsia="Times New Roman" w:hAnsi="Times New Roman" w:cs="Times New Roman"/>
          <w:sz w:val="28"/>
          <w:szCs w:val="28"/>
        </w:rPr>
        <w:t xml:space="preserve"> that what is needed is an “assertion of </w:t>
      </w:r>
      <w:r>
        <w:rPr>
          <w:rFonts w:ascii="Times New Roman" w:eastAsia="Times New Roman" w:hAnsi="Times New Roman" w:cs="Times New Roman"/>
          <w:sz w:val="28"/>
          <w:szCs w:val="28"/>
        </w:rPr>
        <w:t>Indigenous laws and jurisdiction, and restoration of collective Indigenous women’s rights and governance,” and “individual support for survivors such as healing programs.”</w:t>
      </w:r>
    </w:p>
    <w:p w14:paraId="00000028"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“Red Women Rising” had made </w:t>
      </w:r>
      <w:proofErr w:type="gramStart"/>
      <w:r>
        <w:rPr>
          <w:rFonts w:ascii="Times New Roman" w:eastAsia="Times New Roman" w:hAnsi="Times New Roman" w:cs="Times New Roman"/>
          <w:sz w:val="28"/>
          <w:szCs w:val="28"/>
        </w:rPr>
        <w:t>200</w:t>
      </w:r>
      <w:proofErr w:type="gramEnd"/>
      <w:r>
        <w:rPr>
          <w:rFonts w:ascii="Times New Roman" w:eastAsia="Times New Roman" w:hAnsi="Times New Roman" w:cs="Times New Roman"/>
          <w:sz w:val="28"/>
          <w:szCs w:val="28"/>
        </w:rPr>
        <w:t xml:space="preserve"> recommendations to address violence against Indigeno</w:t>
      </w:r>
      <w:r>
        <w:rPr>
          <w:rFonts w:ascii="Times New Roman" w:eastAsia="Times New Roman" w:hAnsi="Times New Roman" w:cs="Times New Roman"/>
          <w:sz w:val="28"/>
          <w:szCs w:val="28"/>
        </w:rPr>
        <w:t xml:space="preserve">us women. Meanwhile, the NIMMIWG had issued 231 </w:t>
      </w:r>
      <w:hyperlink r:id="rId52">
        <w:r>
          <w:rPr>
            <w:rFonts w:ascii="Times New Roman" w:eastAsia="Times New Roman" w:hAnsi="Times New Roman" w:cs="Times New Roman"/>
            <w:color w:val="1155CC"/>
            <w:sz w:val="28"/>
            <w:szCs w:val="28"/>
            <w:u w:val="single"/>
          </w:rPr>
          <w:t>“</w:t>
        </w:r>
      </w:hyperlink>
      <w:hyperlink r:id="rId53">
        <w:r>
          <w:rPr>
            <w:rFonts w:ascii="Times New Roman" w:eastAsia="Times New Roman" w:hAnsi="Times New Roman" w:cs="Times New Roman"/>
            <w:color w:val="1155CC"/>
            <w:sz w:val="28"/>
            <w:szCs w:val="28"/>
            <w:u w:val="single"/>
          </w:rPr>
          <w:t>Calls for Justice</w:t>
        </w:r>
      </w:hyperlink>
      <w:hyperlink r:id="rId54">
        <w:r>
          <w:rPr>
            <w:rFonts w:ascii="Times New Roman" w:eastAsia="Times New Roman" w:hAnsi="Times New Roman" w:cs="Times New Roman"/>
            <w:color w:val="1155CC"/>
            <w:sz w:val="28"/>
            <w:szCs w:val="28"/>
            <w:u w:val="single"/>
          </w:rPr>
          <w:t>,”</w:t>
        </w:r>
      </w:hyperlink>
      <w:r>
        <w:rPr>
          <w:rFonts w:ascii="Times New Roman" w:eastAsia="Times New Roman" w:hAnsi="Times New Roman" w:cs="Times New Roman"/>
          <w:sz w:val="28"/>
          <w:szCs w:val="28"/>
        </w:rPr>
        <w:t xml:space="preserve"> stressing that they were legal imperatives, not recommendations. However, in the three years since the release of both these reports, the Canadian government has made </w:t>
      </w:r>
      <w:hyperlink r:id="rId55">
        <w:r>
          <w:rPr>
            <w:rFonts w:ascii="Times New Roman" w:eastAsia="Times New Roman" w:hAnsi="Times New Roman" w:cs="Times New Roman"/>
            <w:color w:val="1155CC"/>
            <w:sz w:val="28"/>
            <w:szCs w:val="28"/>
            <w:u w:val="single"/>
          </w:rPr>
          <w:t>“little progress.”</w:t>
        </w:r>
      </w:hyperlink>
    </w:p>
    <w:p w14:paraId="00000029" w14:textId="77777777" w:rsidR="00A91834" w:rsidRDefault="004C0FC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“While there have been crucial acknowledgments on the subject of violence against Indigenous women,” Wilson told Peoples Dispatch, “now we need actions. We need funds for reparations, we need h</w:t>
      </w:r>
      <w:r>
        <w:rPr>
          <w:rFonts w:ascii="Times New Roman" w:eastAsia="Times New Roman" w:hAnsi="Times New Roman" w:cs="Times New Roman"/>
          <w:sz w:val="28"/>
          <w:szCs w:val="28"/>
        </w:rPr>
        <w:t xml:space="preserve">ousing, and we need clean water on the </w:t>
      </w:r>
      <w:r>
        <w:rPr>
          <w:rFonts w:ascii="Times New Roman" w:eastAsia="Times New Roman" w:hAnsi="Times New Roman" w:cs="Times New Roman"/>
          <w:sz w:val="28"/>
          <w:szCs w:val="28"/>
        </w:rPr>
        <w:lastRenderedPageBreak/>
        <w:t>reserves.”</w:t>
      </w:r>
    </w:p>
    <w:sectPr w:rsidR="00A91834">
      <w:headerReference w:type="default" r:id="rId5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98F0C" w14:textId="77777777" w:rsidR="00000000" w:rsidRDefault="004C0FC7">
      <w:pPr>
        <w:spacing w:line="240" w:lineRule="auto"/>
      </w:pPr>
      <w:r>
        <w:separator/>
      </w:r>
    </w:p>
  </w:endnote>
  <w:endnote w:type="continuationSeparator" w:id="0">
    <w:p w14:paraId="3B4451CD" w14:textId="77777777" w:rsidR="00000000" w:rsidRDefault="004C0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9AE5" w14:textId="77777777" w:rsidR="00000000" w:rsidRDefault="004C0FC7">
      <w:pPr>
        <w:spacing w:line="240" w:lineRule="auto"/>
      </w:pPr>
      <w:r>
        <w:separator/>
      </w:r>
    </w:p>
  </w:footnote>
  <w:footnote w:type="continuationSeparator" w:id="0">
    <w:p w14:paraId="68DE35F4" w14:textId="77777777" w:rsidR="00000000" w:rsidRDefault="004C0F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7777777" w:rsidR="00A91834" w:rsidRDefault="00A918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834"/>
    <w:rsid w:val="004C0FC7"/>
    <w:rsid w:val="00A91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18FF97-26D5-4B38-B7B7-1AECE466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bc.ca/news/canada/british-columbia/noelle-osoup-family-1.6546297" TargetMode="External"/><Relationship Id="rId18" Type="http://schemas.openxmlformats.org/officeDocument/2006/relationships/hyperlink" Target="https://www.mmiwg-ffada.ca/wp-content/uploads/2019/06/Final_Report_Vol_1a-1.pdf" TargetMode="External"/><Relationship Id="rId26" Type="http://schemas.openxmlformats.org/officeDocument/2006/relationships/hyperlink" Target="https://www.sac-isc.gc.ca/eng/1541187352297/1541187392851" TargetMode="External"/><Relationship Id="rId39" Type="http://schemas.openxmlformats.org/officeDocument/2006/relationships/hyperlink" Target="https://dewc.ca/wp-content/uploads/2019/03/MMIW-Report-Final-March-10-WEB.pdf" TargetMode="External"/><Relationship Id="rId21" Type="http://schemas.openxmlformats.org/officeDocument/2006/relationships/hyperlink" Target="https://www150.statcan.gc.ca/n1/pub/85-002-x/2022001/article/00004-eng.htm" TargetMode="External"/><Relationship Id="rId34" Type="http://schemas.openxmlformats.org/officeDocument/2006/relationships/hyperlink" Target="https://dewc.ca/wp-content/uploads/2019/03/MMIW-Report-Final-March-10-WEB.pdf" TargetMode="External"/><Relationship Id="rId42" Type="http://schemas.openxmlformats.org/officeDocument/2006/relationships/hyperlink" Target="https://vancouversun.com/news/local-news/first-nations-groups-call-for-investigation-into-chelsea-poormans-disappearance-and-death" TargetMode="External"/><Relationship Id="rId47" Type="http://schemas.openxmlformats.org/officeDocument/2006/relationships/hyperlink" Target="https://dewc.ca/wp-content/uploads/2019/03/MMIW-Report-Final-March-10-WEB.pdf" TargetMode="External"/><Relationship Id="rId50" Type="http://schemas.openxmlformats.org/officeDocument/2006/relationships/hyperlink" Target="https://dewc.ca/wp-content/uploads/2019/03/MMIW-Report-Final-March-10-WEB.pdf" TargetMode="External"/><Relationship Id="rId55" Type="http://schemas.openxmlformats.org/officeDocument/2006/relationships/hyperlink" Target="https://nwac.ca/abc/media-1" TargetMode="External"/><Relationship Id="rId7" Type="http://schemas.openxmlformats.org/officeDocument/2006/relationships/hyperlink" Target="https://globetrotter.media/" TargetMode="External"/><Relationship Id="rId2" Type="http://schemas.openxmlformats.org/officeDocument/2006/relationships/settings" Target="settings.xml"/><Relationship Id="rId16" Type="http://schemas.openxmlformats.org/officeDocument/2006/relationships/hyperlink" Target="https://globalnews.ca/news/9032414/noelle-osoups-remains-overlooked-by-vancouver-investigators/" TargetMode="External"/><Relationship Id="rId29" Type="http://schemas.openxmlformats.org/officeDocument/2006/relationships/hyperlink" Target="https://www.mmiwg-ffada.ca/wp-content/uploads/2019/06/Supplementary-Report_Genocide.pdf" TargetMode="External"/><Relationship Id="rId11" Type="http://schemas.openxmlformats.org/officeDocument/2006/relationships/hyperlink" Target="https://vancouversun.com/news/crime/she-was-a-little-girl-aunt-remembers-noelle-osoup-who-vanished-at-13" TargetMode="External"/><Relationship Id="rId24" Type="http://schemas.openxmlformats.org/officeDocument/2006/relationships/hyperlink" Target="https://www150.statcan.gc.ca/n1/pub/85-002-x/2022001/article/00004-eng.htm" TargetMode="External"/><Relationship Id="rId32" Type="http://schemas.openxmlformats.org/officeDocument/2006/relationships/hyperlink" Target="https://www.mmiwg-ffada.ca/wp-content/uploads/2019/06/Supplementary-Report_Genocide.pdf" TargetMode="External"/><Relationship Id="rId37" Type="http://schemas.openxmlformats.org/officeDocument/2006/relationships/hyperlink" Target="https://dewc.ca/wp-content/uploads/2019/03/MMIW-Report-Final-March-10-WEB.pdf" TargetMode="External"/><Relationship Id="rId40" Type="http://schemas.openxmlformats.org/officeDocument/2006/relationships/hyperlink" Target="https://tbinternet.ohchr.org/Treaties/CEDAW/Shared%20Documents/CAN/CEDAW_C_OP-8_CAN_1_7643_E.pdf" TargetMode="External"/><Relationship Id="rId45" Type="http://schemas.openxmlformats.org/officeDocument/2006/relationships/hyperlink" Target="https://www.theglobeandmail.com/canada/article-half-of-all-women-inmates-are-indigenous/" TargetMode="External"/><Relationship Id="rId53" Type="http://schemas.openxmlformats.org/officeDocument/2006/relationships/hyperlink" Target="https://www.cbc.ca/news/indigenous/mmiwg-inquiry-report-1.5158385" TargetMode="Externa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s://indigenousfoundations.web.arts.ubc.ca/sixties_scoop/" TargetMode="External"/><Relationship Id="rId4" Type="http://schemas.openxmlformats.org/officeDocument/2006/relationships/footnotes" Target="footnotes.xml"/><Relationship Id="rId9" Type="http://schemas.openxmlformats.org/officeDocument/2006/relationships/hyperlink" Target="https://bc.ctvnews.ca/they-are-loved-families-hold-emotional-vigil-for-indigenous-women-and-teen-girl-found-dead-in-metro-vancouver-1.6055026" TargetMode="External"/><Relationship Id="rId14" Type="http://schemas.openxmlformats.org/officeDocument/2006/relationships/hyperlink" Target="https://www.cbc.ca/news/canada/british-columbia/noelle-osoup-family-1.6546297" TargetMode="External"/><Relationship Id="rId22" Type="http://schemas.openxmlformats.org/officeDocument/2006/relationships/hyperlink" Target="https://www150.statcan.gc.ca/n1/pub/85-002-x/2022001/article/00004-eng.htm" TargetMode="External"/><Relationship Id="rId27" Type="http://schemas.openxmlformats.org/officeDocument/2006/relationships/hyperlink" Target="https://globalnews.ca/news/7983112/indigenous-family-separations-advocate/" TargetMode="External"/><Relationship Id="rId30" Type="http://schemas.openxmlformats.org/officeDocument/2006/relationships/hyperlink" Target="https://www.un.org/en/genocideprevention/documents/atrocity-crimes/Doc.1_Convention%20on%20the%20Prevention%20and%20Punishment%20of%20the%20Crime%20of%20Genocide.pdf" TargetMode="External"/><Relationship Id="rId35" Type="http://schemas.openxmlformats.org/officeDocument/2006/relationships/hyperlink" Target="https://tinyurl.com/vhuecbf7" TargetMode="External"/><Relationship Id="rId43" Type="http://schemas.openxmlformats.org/officeDocument/2006/relationships/hyperlink" Target="https://www.hrw.org/news/2017/06/19/submission-government-canada-police-abuse-indigenous-women-saskatchewan-and" TargetMode="External"/><Relationship Id="rId48" Type="http://schemas.openxmlformats.org/officeDocument/2006/relationships/hyperlink" Target="https://dewc.ca/wp-content/uploads/2019/03/MMIW-Report-Final-March-10-WEB.pdf" TargetMode="External"/><Relationship Id="rId56" Type="http://schemas.openxmlformats.org/officeDocument/2006/relationships/header" Target="header1.xml"/><Relationship Id="rId8" Type="http://schemas.openxmlformats.org/officeDocument/2006/relationships/hyperlink" Target="https://www.ubcic.bc.ca/crisis_in_vancouver_s_downtown_eastside_ubcic_calls_on_city_of_vancouver" TargetMode="External"/><Relationship Id="rId51" Type="http://schemas.openxmlformats.org/officeDocument/2006/relationships/hyperlink" Target="https://dewc.ca/wp-content/uploads/2019/03/MMIW-Report-Final-March-10-WEB.pdf" TargetMode="External"/><Relationship Id="rId3" Type="http://schemas.openxmlformats.org/officeDocument/2006/relationships/webSettings" Target="webSettings.xml"/><Relationship Id="rId12" Type="http://schemas.openxmlformats.org/officeDocument/2006/relationships/hyperlink" Target="https://www.ubcic.bc.ca/crisis_in_vancouver_s_downtown_eastside_ubcic_calls_on_city_of_vancouver" TargetMode="External"/><Relationship Id="rId17" Type="http://schemas.openxmlformats.org/officeDocument/2006/relationships/hyperlink" Target="https://www.mmiwg-ffada.ca/final-report/" TargetMode="External"/><Relationship Id="rId25" Type="http://schemas.openxmlformats.org/officeDocument/2006/relationships/hyperlink" Target="https://www150.statcan.gc.ca/n1/pub/85-002-x/2022001/article/00004-eng.htm" TargetMode="External"/><Relationship Id="rId33" Type="http://schemas.openxmlformats.org/officeDocument/2006/relationships/hyperlink" Target="https://sustain.ubc.ca/sites/default/files/2021-041_Investigating%20culturally%20safe%20ways%20to_Braley.pdf" TargetMode="External"/><Relationship Id="rId38" Type="http://schemas.openxmlformats.org/officeDocument/2006/relationships/hyperlink" Target="https://dewc.ca/wp-content/uploads/2019/03/MMIW-Report-Final-March-10-WEB.pdf" TargetMode="External"/><Relationship Id="rId46" Type="http://schemas.openxmlformats.org/officeDocument/2006/relationships/hyperlink" Target="https://dewc.ca/wp-content/uploads/2019/03/MMIW-Report-Final-March-10-WEB.pdf" TargetMode="External"/><Relationship Id="rId20" Type="http://schemas.openxmlformats.org/officeDocument/2006/relationships/hyperlink" Target="https://www.mmiwg-ffada.ca/wp-content/uploads/2019/06/Final_Report_Vol_1a-1.pdf" TargetMode="External"/><Relationship Id="rId41" Type="http://schemas.openxmlformats.org/officeDocument/2006/relationships/hyperlink" Target="https://dewc.ca/wp-content/uploads/2019/03/MMIW-Report-Final-March-10-WEB.pdf" TargetMode="External"/><Relationship Id="rId54" Type="http://schemas.openxmlformats.org/officeDocument/2006/relationships/hyperlink" Target="https://www.cbc.ca/news/indigenous/mmiwg-inquiry-report-1.5158385" TargetMode="External"/><Relationship Id="rId1" Type="http://schemas.openxmlformats.org/officeDocument/2006/relationships/styles" Target="styles.xml"/><Relationship Id="rId6" Type="http://schemas.openxmlformats.org/officeDocument/2006/relationships/hyperlink" Target="https://peoplesdispatch.org/" TargetMode="External"/><Relationship Id="rId15" Type="http://schemas.openxmlformats.org/officeDocument/2006/relationships/hyperlink" Target="https://globalnews.ca/news/9032414/noelle-osoups-remains-overlooked-by-vancouver-investigators/" TargetMode="External"/><Relationship Id="rId23" Type="http://schemas.openxmlformats.org/officeDocument/2006/relationships/hyperlink" Target="https://www150.statcan.gc.ca/n1/pub/85-002-x/2022001/article/00004-eng.htm" TargetMode="External"/><Relationship Id="rId28" Type="http://schemas.openxmlformats.org/officeDocument/2006/relationships/hyperlink" Target="https://peoplesdispatch.org/2021/06/25/hundreds-of-more-unmarked-graves-discovered-in-residential-school-in-canada/" TargetMode="External"/><Relationship Id="rId36" Type="http://schemas.openxmlformats.org/officeDocument/2006/relationships/hyperlink" Target="https://vancouversun.com/news/local-news/vancouver-sex-workers-on-high-alert-after-recent-violence-in-dtes" TargetMode="External"/><Relationship Id="rId49" Type="http://schemas.openxmlformats.org/officeDocument/2006/relationships/hyperlink" Target="https://dewc.ca/wp-content/uploads/2019/03/MMIW-Report-Final-March-10-WEB.pdf" TargetMode="External"/><Relationship Id="rId57" Type="http://schemas.openxmlformats.org/officeDocument/2006/relationships/fontTable" Target="fontTable.xml"/><Relationship Id="rId10" Type="http://schemas.openxmlformats.org/officeDocument/2006/relationships/hyperlink" Target="https://vancouver.ca/people-programs/land-acknowledgement.aspx" TargetMode="External"/><Relationship Id="rId31" Type="http://schemas.openxmlformats.org/officeDocument/2006/relationships/hyperlink" Target="https://www.mmiwg-ffada.ca/wp-content/uploads/2019/06/Supplementary-Report_Genocide.pdf" TargetMode="External"/><Relationship Id="rId44" Type="http://schemas.openxmlformats.org/officeDocument/2006/relationships/hyperlink" Target="https://fafia-afai.org/wp-content/uploads/2022/05/FAFIA_RCMP_REPORT.pdf" TargetMode="External"/><Relationship Id="rId52" Type="http://schemas.openxmlformats.org/officeDocument/2006/relationships/hyperlink" Target="https://www.cbc.ca/news/indigenous/mmiwg-inquiry-report-1.5158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2280</Words>
  <Characters>13002</Characters>
  <Application>Microsoft Office Word</Application>
  <DocSecurity>0</DocSecurity>
  <Lines>108</Lines>
  <Paragraphs>30</Paragraphs>
  <ScaleCrop>false</ScaleCrop>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2022-09-15T16:03:00Z</dcterms:created>
  <dcterms:modified xsi:type="dcterms:W3CDTF">2022-09-15T16:03:00Z</dcterms:modified>
</cp:coreProperties>
</file>