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F2FEC" w:rsidRDefault="00151D02">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India’s Move Toward a De Facto Unitary State</w:t>
      </w:r>
    </w:p>
    <w:p w14:paraId="00000002" w14:textId="77777777" w:rsidR="000F2FEC" w:rsidRDefault="00151D02">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Teaser:</w:t>
      </w:r>
      <w:r>
        <w:rPr>
          <w:rFonts w:ascii="Times New Roman" w:eastAsia="Times New Roman" w:hAnsi="Times New Roman" w:cs="Times New Roman"/>
          <w:sz w:val="28"/>
          <w:szCs w:val="28"/>
          <w:highlight w:val="white"/>
        </w:rPr>
        <w:t xml:space="preserve"> India is being pushed toward a de facto unitary state, with states being kept totally out of the loop in decision-making, as seen in the new agricultural laws, goods and services tax compensation, Jammu and Kashmir bifurcation and new National Education P</w:t>
      </w:r>
      <w:r>
        <w:rPr>
          <w:rFonts w:ascii="Times New Roman" w:eastAsia="Times New Roman" w:hAnsi="Times New Roman" w:cs="Times New Roman"/>
          <w:sz w:val="28"/>
          <w:szCs w:val="28"/>
          <w:highlight w:val="white"/>
        </w:rPr>
        <w:t>olicy.</w:t>
      </w:r>
    </w:p>
    <w:p w14:paraId="00000003" w14:textId="77777777" w:rsidR="000F2FEC" w:rsidRDefault="00151D02">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Prabhat Patnaik</w:t>
      </w:r>
    </w:p>
    <w:p w14:paraId="00000004" w14:textId="77777777" w:rsidR="000F2FEC" w:rsidRDefault="00151D02">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was produced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Prabhat Patnaik is an Indian political economist and political commentator.</w:t>
      </w:r>
    </w:p>
    <w:p w14:paraId="00000005" w14:textId="77777777" w:rsidR="000F2FEC" w:rsidRDefault="00151D02">
      <w:pPr>
        <w:widowControl w:val="0"/>
        <w:spacing w:before="200" w:after="20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6" w14:textId="77777777" w:rsidR="000F2FEC" w:rsidRDefault="00151D02">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A</w:t>
      </w:r>
      <w:r>
        <w:rPr>
          <w:rFonts w:ascii="Times New Roman" w:eastAsia="Times New Roman" w:hAnsi="Times New Roman" w:cs="Times New Roman"/>
          <w:sz w:val="28"/>
          <w:szCs w:val="28"/>
          <w:highlight w:val="white"/>
        </w:rPr>
        <w:t>sia/India, Asia, Economy, Law, Politics, Activism, Social Benefits, Opinion, Food, History</w:t>
      </w:r>
    </w:p>
    <w:p w14:paraId="00000007" w14:textId="77777777" w:rsidR="000F2FEC" w:rsidRDefault="000F2FEC">
      <w:pPr>
        <w:widowControl w:val="0"/>
        <w:spacing w:before="200" w:after="200"/>
        <w:rPr>
          <w:rFonts w:ascii="Times New Roman" w:eastAsia="Times New Roman" w:hAnsi="Times New Roman" w:cs="Times New Roman"/>
          <w:b/>
          <w:sz w:val="28"/>
          <w:szCs w:val="28"/>
          <w:highlight w:val="white"/>
        </w:rPr>
      </w:pPr>
    </w:p>
    <w:p w14:paraId="00000008" w14:textId="77777777" w:rsidR="000F2FEC" w:rsidRDefault="00151D02">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9"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Federalism is one of the basic features of the Indian Constitution. In the </w:t>
      </w:r>
      <w:hyperlink r:id="rId5">
        <w:r>
          <w:rPr>
            <w:rFonts w:ascii="Times New Roman" w:eastAsia="Times New Roman" w:hAnsi="Times New Roman" w:cs="Times New Roman"/>
            <w:color w:val="1155CC"/>
            <w:sz w:val="28"/>
            <w:szCs w:val="28"/>
            <w:u w:val="single"/>
          </w:rPr>
          <w:t>Constituent Assembly</w:t>
        </w:r>
      </w:hyperlink>
      <w:r>
        <w:rPr>
          <w:rFonts w:ascii="Times New Roman" w:eastAsia="Times New Roman" w:hAnsi="Times New Roman" w:cs="Times New Roman"/>
          <w:sz w:val="28"/>
          <w:szCs w:val="28"/>
        </w:rPr>
        <w:t xml:space="preserve">, Indian economist </w:t>
      </w:r>
      <w:hyperlink r:id="rId6">
        <w:r>
          <w:rPr>
            <w:rFonts w:ascii="Times New Roman" w:eastAsia="Times New Roman" w:hAnsi="Times New Roman" w:cs="Times New Roman"/>
            <w:color w:val="1155CC"/>
            <w:sz w:val="28"/>
            <w:szCs w:val="28"/>
            <w:u w:val="single"/>
          </w:rPr>
          <w:t>professor K.T. Shah</w:t>
        </w:r>
      </w:hyperlink>
      <w:r>
        <w:rPr>
          <w:rFonts w:ascii="Times New Roman" w:eastAsia="Times New Roman" w:hAnsi="Times New Roman" w:cs="Times New Roman"/>
          <w:sz w:val="28"/>
          <w:szCs w:val="28"/>
        </w:rPr>
        <w:t xml:space="preserve"> wanted the terms “federal” and “secular” included in the </w:t>
      </w:r>
      <w:hyperlink r:id="rId7">
        <w:r>
          <w:rPr>
            <w:rFonts w:ascii="Times New Roman" w:eastAsia="Times New Roman" w:hAnsi="Times New Roman" w:cs="Times New Roman"/>
            <w:color w:val="1155CC"/>
            <w:sz w:val="28"/>
            <w:szCs w:val="28"/>
            <w:u w:val="single"/>
          </w:rPr>
          <w:t>Preamble</w:t>
        </w:r>
      </w:hyperlink>
      <w:r>
        <w:rPr>
          <w:rFonts w:ascii="Times New Roman" w:eastAsia="Times New Roman" w:hAnsi="Times New Roman" w:cs="Times New Roman"/>
          <w:sz w:val="28"/>
          <w:szCs w:val="28"/>
        </w:rPr>
        <w:t xml:space="preserve"> itself, but </w:t>
      </w:r>
      <w:hyperlink r:id="rId8">
        <w:r>
          <w:rPr>
            <w:rFonts w:ascii="Times New Roman" w:eastAsia="Times New Roman" w:hAnsi="Times New Roman" w:cs="Times New Roman"/>
            <w:color w:val="1155CC"/>
            <w:sz w:val="28"/>
            <w:szCs w:val="28"/>
            <w:u w:val="single"/>
          </w:rPr>
          <w:t>Dr. Ambedkar</w:t>
        </w:r>
      </w:hyperlink>
      <w:r>
        <w:rPr>
          <w:rFonts w:ascii="Times New Roman" w:eastAsia="Times New Roman" w:hAnsi="Times New Roman" w:cs="Times New Roman"/>
          <w:sz w:val="28"/>
          <w:szCs w:val="28"/>
        </w:rPr>
        <w:t xml:space="preserve"> reject</w:t>
      </w:r>
      <w:r>
        <w:rPr>
          <w:rFonts w:ascii="Times New Roman" w:eastAsia="Times New Roman" w:hAnsi="Times New Roman" w:cs="Times New Roman"/>
          <w:sz w:val="28"/>
          <w:szCs w:val="28"/>
        </w:rPr>
        <w:t xml:space="preserve">ed it on the grounds that the federal and secular character of the republic was understood and did not need specification. The Indian Constitution, in its </w:t>
      </w:r>
      <w:hyperlink r:id="rId9">
        <w:r>
          <w:rPr>
            <w:rFonts w:ascii="Times New Roman" w:eastAsia="Times New Roman" w:hAnsi="Times New Roman" w:cs="Times New Roman"/>
            <w:color w:val="1155CC"/>
            <w:sz w:val="28"/>
            <w:szCs w:val="28"/>
            <w:u w:val="single"/>
          </w:rPr>
          <w:t>Seventh Schedule</w:t>
        </w:r>
      </w:hyperlink>
      <w:r>
        <w:rPr>
          <w:rFonts w:ascii="Times New Roman" w:eastAsia="Times New Roman" w:hAnsi="Times New Roman" w:cs="Times New Roman"/>
          <w:sz w:val="28"/>
          <w:szCs w:val="28"/>
        </w:rPr>
        <w:t>, spelled out the respec</w:t>
      </w:r>
      <w:r>
        <w:rPr>
          <w:rFonts w:ascii="Times New Roman" w:eastAsia="Times New Roman" w:hAnsi="Times New Roman" w:cs="Times New Roman"/>
          <w:sz w:val="28"/>
          <w:szCs w:val="28"/>
        </w:rPr>
        <w:t xml:space="preserve">tive jurisdictions of the center and the states in two lists, and areas of common jurisdiction in a third list (Concurrent List). Since then, the center has always tended to </w:t>
      </w:r>
      <w:hyperlink r:id="rId10">
        <w:r>
          <w:rPr>
            <w:rFonts w:ascii="Times New Roman" w:eastAsia="Times New Roman" w:hAnsi="Times New Roman" w:cs="Times New Roman"/>
            <w:color w:val="1155CC"/>
            <w:sz w:val="28"/>
            <w:szCs w:val="28"/>
            <w:u w:val="single"/>
          </w:rPr>
          <w:t>encroach</w:t>
        </w:r>
      </w:hyperlink>
      <w:r>
        <w:rPr>
          <w:rFonts w:ascii="Times New Roman" w:eastAsia="Times New Roman" w:hAnsi="Times New Roman" w:cs="Times New Roman"/>
          <w:sz w:val="28"/>
          <w:szCs w:val="28"/>
        </w:rPr>
        <w:t xml:space="preserve"> on the domain of the states, but this tendency has now acquired a strength where the claim that the country is being pushed toward a de facto unitary state appears to be no exaggeration.</w:t>
      </w:r>
    </w:p>
    <w:p w14:paraId="0000000A"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Having </w:t>
      </w:r>
      <w:r>
        <w:rPr>
          <w:rFonts w:ascii="Times New Roman" w:eastAsia="Times New Roman" w:hAnsi="Times New Roman" w:cs="Times New Roman"/>
          <w:sz w:val="28"/>
          <w:szCs w:val="28"/>
        </w:rPr>
        <w:t xml:space="preserve">persuaded states to give up their constitutionally mandated taxing powers by substituting their main revenue source, the sales tax, with a </w:t>
      </w:r>
      <w:hyperlink r:id="rId11">
        <w:r>
          <w:rPr>
            <w:rFonts w:ascii="Times New Roman" w:eastAsia="Times New Roman" w:hAnsi="Times New Roman" w:cs="Times New Roman"/>
            <w:color w:val="1155CC"/>
            <w:sz w:val="28"/>
            <w:szCs w:val="28"/>
            <w:u w:val="single"/>
          </w:rPr>
          <w:t>goods and ser</w:t>
        </w:r>
        <w:r>
          <w:rPr>
            <w:rFonts w:ascii="Times New Roman" w:eastAsia="Times New Roman" w:hAnsi="Times New Roman" w:cs="Times New Roman"/>
            <w:color w:val="1155CC"/>
            <w:sz w:val="28"/>
            <w:szCs w:val="28"/>
            <w:u w:val="single"/>
          </w:rPr>
          <w:t>vices tax</w:t>
        </w:r>
      </w:hyperlink>
      <w:r>
        <w:rPr>
          <w:rFonts w:ascii="Times New Roman" w:eastAsia="Times New Roman" w:hAnsi="Times New Roman" w:cs="Times New Roman"/>
          <w:sz w:val="28"/>
          <w:szCs w:val="28"/>
        </w:rPr>
        <w:t xml:space="preserve"> (GST)</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administered by a GST Council dominated by the center</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with the promise that their revenue shortfall will be made good, the center has now coolly </w:t>
      </w:r>
      <w:hyperlink r:id="rId12">
        <w:r>
          <w:rPr>
            <w:rFonts w:ascii="Times New Roman" w:eastAsia="Times New Roman" w:hAnsi="Times New Roman" w:cs="Times New Roman"/>
            <w:color w:val="1155CC"/>
            <w:sz w:val="28"/>
            <w:szCs w:val="28"/>
            <w:u w:val="single"/>
          </w:rPr>
          <w:t>reneged</w:t>
        </w:r>
      </w:hyperlink>
      <w:r>
        <w:rPr>
          <w:rFonts w:ascii="Times New Roman" w:eastAsia="Times New Roman" w:hAnsi="Times New Roman" w:cs="Times New Roman"/>
          <w:sz w:val="28"/>
          <w:szCs w:val="28"/>
        </w:rPr>
        <w:t xml:space="preserve"> on that promise. States at present have no taxing powers (except over just </w:t>
      </w:r>
      <w:hyperlink r:id="rId13">
        <w:r>
          <w:rPr>
            <w:rFonts w:ascii="Times New Roman" w:eastAsia="Times New Roman" w:hAnsi="Times New Roman" w:cs="Times New Roman"/>
            <w:color w:val="1155CC"/>
            <w:sz w:val="28"/>
            <w:szCs w:val="28"/>
            <w:u w:val="single"/>
          </w:rPr>
          <w:t>three commodities</w:t>
        </w:r>
      </w:hyperlink>
      <w:r>
        <w:rPr>
          <w:rFonts w:ascii="Times New Roman" w:eastAsia="Times New Roman" w:hAnsi="Times New Roman" w:cs="Times New Roman"/>
          <w:sz w:val="28"/>
          <w:szCs w:val="28"/>
        </w:rPr>
        <w:t>); and the promised compensation from the center ha</w:t>
      </w:r>
      <w:r>
        <w:rPr>
          <w:rFonts w:ascii="Times New Roman" w:eastAsia="Times New Roman" w:hAnsi="Times New Roman" w:cs="Times New Roman"/>
          <w:sz w:val="28"/>
          <w:szCs w:val="28"/>
        </w:rPr>
        <w:t xml:space="preserve">s </w:t>
      </w:r>
      <w:hyperlink r:id="rId14">
        <w:r>
          <w:rPr>
            <w:rFonts w:ascii="Times New Roman" w:eastAsia="Times New Roman" w:hAnsi="Times New Roman" w:cs="Times New Roman"/>
            <w:color w:val="1155CC"/>
            <w:sz w:val="28"/>
            <w:szCs w:val="28"/>
            <w:u w:val="single"/>
          </w:rPr>
          <w:t>not materialized</w:t>
        </w:r>
      </w:hyperlink>
      <w:r>
        <w:rPr>
          <w:rFonts w:ascii="Times New Roman" w:eastAsia="Times New Roman" w:hAnsi="Times New Roman" w:cs="Times New Roman"/>
          <w:sz w:val="28"/>
          <w:szCs w:val="28"/>
        </w:rPr>
        <w:t>.</w:t>
      </w:r>
    </w:p>
    <w:p w14:paraId="0000000B"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But it is not just control over resources that has been centralized; decision-making too is bei</w:t>
      </w:r>
      <w:r>
        <w:rPr>
          <w:rFonts w:ascii="Times New Roman" w:eastAsia="Times New Roman" w:hAnsi="Times New Roman" w:cs="Times New Roman"/>
          <w:sz w:val="28"/>
          <w:szCs w:val="28"/>
        </w:rPr>
        <w:t xml:space="preserve">ng centralized against the provisions of the Constitution. Education, for instance, is in the </w:t>
      </w:r>
      <w:hyperlink r:id="rId15" w:anchor="cite_ref-5:~:text=25.%20Education">
        <w:r>
          <w:rPr>
            <w:rFonts w:ascii="Times New Roman" w:eastAsia="Times New Roman" w:hAnsi="Times New Roman" w:cs="Times New Roman"/>
            <w:color w:val="1155CC"/>
            <w:sz w:val="28"/>
            <w:szCs w:val="28"/>
            <w:u w:val="single"/>
          </w:rPr>
          <w:t>Concurrent List</w:t>
        </w:r>
      </w:hyperlink>
      <w:r>
        <w:rPr>
          <w:rFonts w:ascii="Times New Roman" w:eastAsia="Times New Roman" w:hAnsi="Times New Roman" w:cs="Times New Roman"/>
          <w:sz w:val="28"/>
          <w:szCs w:val="28"/>
        </w:rPr>
        <w:t>; but the center has recently come out with</w:t>
      </w:r>
      <w:r>
        <w:rPr>
          <w:rFonts w:ascii="Times New Roman" w:eastAsia="Times New Roman" w:hAnsi="Times New Roman" w:cs="Times New Roman"/>
          <w:sz w:val="28"/>
          <w:szCs w:val="28"/>
        </w:rPr>
        <w:t xml:space="preserve"> a </w:t>
      </w:r>
      <w:hyperlink r:id="rId16">
        <w:r>
          <w:rPr>
            <w:rFonts w:ascii="Times New Roman" w:eastAsia="Times New Roman" w:hAnsi="Times New Roman" w:cs="Times New Roman"/>
            <w:color w:val="1155CC"/>
            <w:sz w:val="28"/>
            <w:szCs w:val="28"/>
            <w:u w:val="single"/>
          </w:rPr>
          <w:t>new National Education Policy</w:t>
        </w:r>
      </w:hyperlink>
      <w:r>
        <w:rPr>
          <w:rFonts w:ascii="Times New Roman" w:eastAsia="Times New Roman" w:hAnsi="Times New Roman" w:cs="Times New Roman"/>
          <w:sz w:val="28"/>
          <w:szCs w:val="28"/>
        </w:rPr>
        <w:t xml:space="preserve"> (NEP), </w:t>
      </w:r>
      <w:hyperlink r:id="rId17">
        <w:r>
          <w:rPr>
            <w:rFonts w:ascii="Times New Roman" w:eastAsia="Times New Roman" w:hAnsi="Times New Roman" w:cs="Times New Roman"/>
            <w:color w:val="1155CC"/>
            <w:sz w:val="28"/>
            <w:szCs w:val="28"/>
            <w:u w:val="single"/>
          </w:rPr>
          <w:t>without any consultation</w:t>
        </w:r>
      </w:hyperlink>
      <w:r>
        <w:rPr>
          <w:rFonts w:ascii="Times New Roman" w:eastAsia="Times New Roman" w:hAnsi="Times New Roman" w:cs="Times New Roman"/>
          <w:sz w:val="28"/>
          <w:szCs w:val="28"/>
        </w:rPr>
        <w:t xml:space="preserve"> with the states. The states are simply expected to fall in line and implement the NEP. Agriculture belongs to the State List; and yet the center has just </w:t>
      </w:r>
      <w:hyperlink r:id="rId18">
        <w:r>
          <w:rPr>
            <w:rFonts w:ascii="Times New Roman" w:eastAsia="Times New Roman" w:hAnsi="Times New Roman" w:cs="Times New Roman"/>
            <w:color w:val="1155CC"/>
            <w:sz w:val="28"/>
            <w:szCs w:val="28"/>
            <w:u w:val="single"/>
          </w:rPr>
          <w:t>rushed three bills</w:t>
        </w:r>
      </w:hyperlink>
      <w:r>
        <w:rPr>
          <w:rFonts w:ascii="Times New Roman" w:eastAsia="Times New Roman" w:hAnsi="Times New Roman" w:cs="Times New Roman"/>
          <w:sz w:val="28"/>
          <w:szCs w:val="28"/>
        </w:rPr>
        <w:t xml:space="preserve"> through the parliament, with no consultation with </w:t>
      </w:r>
      <w:hyperlink r:id="rId19">
        <w:r>
          <w:rPr>
            <w:rFonts w:ascii="Times New Roman" w:eastAsia="Times New Roman" w:hAnsi="Times New Roman" w:cs="Times New Roman"/>
            <w:color w:val="1155CC"/>
            <w:sz w:val="28"/>
            <w:szCs w:val="28"/>
            <w:u w:val="single"/>
          </w:rPr>
          <w:t>state governments</w:t>
        </w:r>
      </w:hyperlink>
      <w:r>
        <w:rPr>
          <w:rFonts w:ascii="Times New Roman" w:eastAsia="Times New Roman" w:hAnsi="Times New Roman" w:cs="Times New Roman"/>
          <w:sz w:val="28"/>
          <w:szCs w:val="28"/>
        </w:rPr>
        <w:t>, making far-reaching changes in the country’s agricultural arrangements, which, apart from their impact upon the peasantry, would also mean significant revenue losses for states.</w:t>
      </w:r>
    </w:p>
    <w:p w14:paraId="0000000C"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It is not just the states’ domains that are being encroached upon; their ver</w:t>
      </w:r>
      <w:r>
        <w:rPr>
          <w:rFonts w:ascii="Times New Roman" w:eastAsia="Times New Roman" w:hAnsi="Times New Roman" w:cs="Times New Roman"/>
          <w:sz w:val="28"/>
          <w:szCs w:val="28"/>
        </w:rPr>
        <w:t xml:space="preserve">y </w:t>
      </w:r>
      <w:r>
        <w:rPr>
          <w:rFonts w:ascii="Times New Roman" w:eastAsia="Times New Roman" w:hAnsi="Times New Roman" w:cs="Times New Roman"/>
          <w:i/>
          <w:sz w:val="28"/>
          <w:szCs w:val="28"/>
        </w:rPr>
        <w:t>being</w:t>
      </w:r>
      <w:r>
        <w:rPr>
          <w:rFonts w:ascii="Times New Roman" w:eastAsia="Times New Roman" w:hAnsi="Times New Roman" w:cs="Times New Roman"/>
          <w:sz w:val="28"/>
          <w:szCs w:val="28"/>
        </w:rPr>
        <w:t xml:space="preserve"> can now be unilaterally altered by the center. This became clear when the state of Jammu and Kashmir was carved into two separate </w:t>
      </w:r>
      <w:hyperlink r:id="rId20">
        <w:r>
          <w:rPr>
            <w:rFonts w:ascii="Times New Roman" w:eastAsia="Times New Roman" w:hAnsi="Times New Roman" w:cs="Times New Roman"/>
            <w:color w:val="1155CC"/>
            <w:sz w:val="28"/>
            <w:szCs w:val="28"/>
            <w:u w:val="single"/>
          </w:rPr>
          <w:t>Union Territories</w:t>
        </w:r>
      </w:hyperlink>
      <w:r>
        <w:rPr>
          <w:rFonts w:ascii="Times New Roman" w:eastAsia="Times New Roman" w:hAnsi="Times New Roman" w:cs="Times New Roman"/>
          <w:sz w:val="28"/>
          <w:szCs w:val="28"/>
        </w:rPr>
        <w:t xml:space="preserve"> without the consent of the state legislature. The state’s consent to this bifurcation was supposed to have been obtained through the consent of the center-appointed governor, since the state was placed under </w:t>
      </w:r>
      <w:r>
        <w:rPr>
          <w:rFonts w:ascii="Times New Roman" w:eastAsia="Times New Roman" w:hAnsi="Times New Roman" w:cs="Times New Roman"/>
          <w:sz w:val="28"/>
          <w:szCs w:val="28"/>
        </w:rPr>
        <w:t xml:space="preserve">the governor’s rule at the time. With this </w:t>
      </w:r>
      <w:hyperlink r:id="rId21">
        <w:r>
          <w:rPr>
            <w:rFonts w:ascii="Times New Roman" w:eastAsia="Times New Roman" w:hAnsi="Times New Roman" w:cs="Times New Roman"/>
            <w:color w:val="1155CC"/>
            <w:sz w:val="28"/>
            <w:szCs w:val="28"/>
            <w:u w:val="single"/>
          </w:rPr>
          <w:t>precedent</w:t>
        </w:r>
      </w:hyperlink>
      <w:r>
        <w:rPr>
          <w:rFonts w:ascii="Times New Roman" w:eastAsia="Times New Roman" w:hAnsi="Times New Roman" w:cs="Times New Roman"/>
          <w:sz w:val="28"/>
          <w:szCs w:val="28"/>
        </w:rPr>
        <w:t xml:space="preserve"> being set, any state can cease to exist as a state and can be carved up into any number of</w:t>
      </w:r>
      <w:r>
        <w:rPr>
          <w:rFonts w:ascii="Times New Roman" w:eastAsia="Times New Roman" w:hAnsi="Times New Roman" w:cs="Times New Roman"/>
          <w:sz w:val="28"/>
          <w:szCs w:val="28"/>
        </w:rPr>
        <w:t xml:space="preserve"> fragments at any time</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by placing it under governor’s rule and taking the consent of the governor who is handpicked by the center as being legally equivalent to the consent of the state legislature. When the very existence of a state becomes a matter of ce</w:t>
      </w:r>
      <w:r>
        <w:rPr>
          <w:rFonts w:ascii="Times New Roman" w:eastAsia="Times New Roman" w:hAnsi="Times New Roman" w:cs="Times New Roman"/>
          <w:sz w:val="28"/>
          <w:szCs w:val="28"/>
        </w:rPr>
        <w:t xml:space="preserve">ntral discretion, a substantial step has been taken toward a </w:t>
      </w:r>
      <w:hyperlink r:id="rId22">
        <w:r>
          <w:rPr>
            <w:rFonts w:ascii="Times New Roman" w:eastAsia="Times New Roman" w:hAnsi="Times New Roman" w:cs="Times New Roman"/>
            <w:color w:val="1155CC"/>
            <w:sz w:val="28"/>
            <w:szCs w:val="28"/>
            <w:u w:val="single"/>
          </w:rPr>
          <w:t>unitary state</w:t>
        </w:r>
      </w:hyperlink>
      <w:r>
        <w:rPr>
          <w:rFonts w:ascii="Times New Roman" w:eastAsia="Times New Roman" w:hAnsi="Times New Roman" w:cs="Times New Roman"/>
          <w:sz w:val="28"/>
          <w:szCs w:val="28"/>
        </w:rPr>
        <w:t>.</w:t>
      </w:r>
    </w:p>
    <w:p w14:paraId="0000000D"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Converting India into a de facto unitary state is the agenda of </w:t>
      </w:r>
      <w:r>
        <w:rPr>
          <w:rFonts w:ascii="Times New Roman" w:eastAsia="Times New Roman" w:hAnsi="Times New Roman" w:cs="Times New Roman"/>
          <w:sz w:val="28"/>
          <w:szCs w:val="28"/>
        </w:rPr>
        <w:t xml:space="preserve">both the </w:t>
      </w:r>
      <w:hyperlink r:id="rId23">
        <w:r>
          <w:rPr>
            <w:rFonts w:ascii="Times New Roman" w:eastAsia="Times New Roman" w:hAnsi="Times New Roman" w:cs="Times New Roman"/>
            <w:i/>
            <w:color w:val="1155CC"/>
            <w:sz w:val="28"/>
            <w:szCs w:val="28"/>
            <w:u w:val="single"/>
          </w:rPr>
          <w:t>Hindutva</w:t>
        </w:r>
      </w:hyperlink>
      <w:r>
        <w:rPr>
          <w:rFonts w:ascii="Times New Roman" w:eastAsia="Times New Roman" w:hAnsi="Times New Roman" w:cs="Times New Roman"/>
          <w:sz w:val="28"/>
          <w:szCs w:val="28"/>
        </w:rPr>
        <w:t xml:space="preserve"> forces and the corporate-financial oligarchy integrated with globalized finance capital; it constitutes therefore a</w:t>
      </w:r>
      <w:r>
        <w:rPr>
          <w:rFonts w:ascii="Times New Roman" w:eastAsia="Times New Roman" w:hAnsi="Times New Roman" w:cs="Times New Roman"/>
          <w:sz w:val="28"/>
          <w:szCs w:val="28"/>
        </w:rPr>
        <w:t xml:space="preserve"> prominent element on the common agenda of the </w:t>
      </w:r>
      <w:hyperlink r:id="rId24">
        <w:r>
          <w:rPr>
            <w:rFonts w:ascii="Times New Roman" w:eastAsia="Times New Roman" w:hAnsi="Times New Roman" w:cs="Times New Roman"/>
            <w:color w:val="1155CC"/>
            <w:sz w:val="28"/>
            <w:szCs w:val="28"/>
            <w:u w:val="single"/>
          </w:rPr>
          <w:t>corporate-</w:t>
        </w:r>
      </w:hyperlink>
      <w:hyperlink r:id="rId25">
        <w:r>
          <w:rPr>
            <w:rFonts w:ascii="Times New Roman" w:eastAsia="Times New Roman" w:hAnsi="Times New Roman" w:cs="Times New Roman"/>
            <w:i/>
            <w:color w:val="1155CC"/>
            <w:sz w:val="28"/>
            <w:szCs w:val="28"/>
            <w:u w:val="single"/>
          </w:rPr>
          <w:t>Hindutva</w:t>
        </w:r>
      </w:hyperlink>
      <w:hyperlink r:id="rId26">
        <w:r>
          <w:rPr>
            <w:rFonts w:ascii="Times New Roman" w:eastAsia="Times New Roman" w:hAnsi="Times New Roman" w:cs="Times New Roman"/>
            <w:color w:val="1155CC"/>
            <w:sz w:val="28"/>
            <w:szCs w:val="28"/>
            <w:u w:val="single"/>
          </w:rPr>
          <w:t xml:space="preserve"> alliance</w:t>
        </w:r>
      </w:hyperlink>
      <w:r>
        <w:rPr>
          <w:rFonts w:ascii="Times New Roman" w:eastAsia="Times New Roman" w:hAnsi="Times New Roman" w:cs="Times New Roman"/>
          <w:sz w:val="28"/>
          <w:szCs w:val="28"/>
        </w:rPr>
        <w:t xml:space="preserve"> that is currently dominating Indian politics.</w:t>
      </w:r>
    </w:p>
    <w:p w14:paraId="0000000E"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federal nature of the Indian stat</w:t>
      </w:r>
      <w:r>
        <w:rPr>
          <w:rFonts w:ascii="Times New Roman" w:eastAsia="Times New Roman" w:hAnsi="Times New Roman" w:cs="Times New Roman"/>
          <w:sz w:val="28"/>
          <w:szCs w:val="28"/>
        </w:rPr>
        <w:t>e follows from the dual national consciousness that characterizes every Indian</w:t>
      </w:r>
      <w:r>
        <w:rPr>
          <w:rFonts w:ascii="Times New Roman" w:eastAsia="Times New Roman" w:hAnsi="Times New Roman" w:cs="Times New Roman"/>
          <w:color w:val="222222"/>
          <w:sz w:val="28"/>
          <w:szCs w:val="28"/>
          <w:highlight w:val="white"/>
        </w:rPr>
        <w:t>—</w:t>
      </w:r>
      <w:r>
        <w:rPr>
          <w:rFonts w:ascii="Times New Roman" w:eastAsia="Times New Roman" w:hAnsi="Times New Roman" w:cs="Times New Roman"/>
          <w:sz w:val="28"/>
          <w:szCs w:val="28"/>
        </w:rPr>
        <w:t xml:space="preserve">the consciousness of belonging to a particular </w:t>
      </w:r>
      <w:hyperlink r:id="rId27">
        <w:r>
          <w:rPr>
            <w:rFonts w:ascii="Times New Roman" w:eastAsia="Times New Roman" w:hAnsi="Times New Roman" w:cs="Times New Roman"/>
            <w:color w:val="1155CC"/>
            <w:sz w:val="28"/>
            <w:szCs w:val="28"/>
            <w:u w:val="single"/>
          </w:rPr>
          <w:t>regional-linguistic group</w:t>
        </w:r>
      </w:hyperlink>
      <w:r>
        <w:rPr>
          <w:rFonts w:ascii="Times New Roman" w:eastAsia="Times New Roman" w:hAnsi="Times New Roman" w:cs="Times New Roman"/>
          <w:sz w:val="28"/>
          <w:szCs w:val="28"/>
        </w:rPr>
        <w:t xml:space="preserve">, that is, being an Odiya, or a Bengali, or a Malayali or a Gujarati, or a Tamil; and a consciousness that is pan-Indian. Both kinds of consciousness got strengthened during the anti-colonial struggle; the post-colonial </w:t>
      </w:r>
      <w:r>
        <w:rPr>
          <w:rFonts w:ascii="Times New Roman" w:eastAsia="Times New Roman" w:hAnsi="Times New Roman" w:cs="Times New Roman"/>
          <w:sz w:val="28"/>
          <w:szCs w:val="28"/>
        </w:rPr>
        <w:lastRenderedPageBreak/>
        <w:t>state accor</w:t>
      </w:r>
      <w:r>
        <w:rPr>
          <w:rFonts w:ascii="Times New Roman" w:eastAsia="Times New Roman" w:hAnsi="Times New Roman" w:cs="Times New Roman"/>
          <w:sz w:val="28"/>
          <w:szCs w:val="28"/>
        </w:rPr>
        <w:t>dingly sought to accommodate both, through a political arrangement that was federal in character. Maintaining this federal character is essential for preserving the delicate balance between the two. The arbitrary prioritization of one over the other distur</w:t>
      </w:r>
      <w:r>
        <w:rPr>
          <w:rFonts w:ascii="Times New Roman" w:eastAsia="Times New Roman" w:hAnsi="Times New Roman" w:cs="Times New Roman"/>
          <w:sz w:val="28"/>
          <w:szCs w:val="28"/>
        </w:rPr>
        <w:t xml:space="preserve">bs this equilibrium; and that disrupts the country’s unity. </w:t>
      </w:r>
      <w:hyperlink r:id="rId28" w:anchor="navbarDropdown:~:text=dual%20national%20consciousness,-characterizing&amp;text=excessive%20centralization">
        <w:r>
          <w:rPr>
            <w:rFonts w:ascii="Times New Roman" w:eastAsia="Times New Roman" w:hAnsi="Times New Roman" w:cs="Times New Roman"/>
            <w:color w:val="1155CC"/>
            <w:sz w:val="28"/>
            <w:szCs w:val="28"/>
            <w:u w:val="single"/>
          </w:rPr>
          <w:t>Excessive centralization</w:t>
        </w:r>
      </w:hyperlink>
      <w:r>
        <w:rPr>
          <w:rFonts w:ascii="Times New Roman" w:eastAsia="Times New Roman" w:hAnsi="Times New Roman" w:cs="Times New Roman"/>
          <w:sz w:val="28"/>
          <w:szCs w:val="28"/>
        </w:rPr>
        <w:t xml:space="preserve"> for instance, by riding roughshod over the regional-linguistic consciousness, tends to encourage its opposite, namely a tendency toward separatism and secession.</w:t>
      </w:r>
    </w:p>
    <w:p w14:paraId="0000000F"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r>
        <w:rPr>
          <w:rFonts w:ascii="Times New Roman" w:eastAsia="Times New Roman" w:hAnsi="Times New Roman" w:cs="Times New Roman"/>
          <w:i/>
          <w:sz w:val="28"/>
          <w:szCs w:val="28"/>
        </w:rPr>
        <w:t>Hindutva</w:t>
      </w:r>
      <w:r>
        <w:rPr>
          <w:rFonts w:ascii="Times New Roman" w:eastAsia="Times New Roman" w:hAnsi="Times New Roman" w:cs="Times New Roman"/>
          <w:sz w:val="28"/>
          <w:szCs w:val="28"/>
        </w:rPr>
        <w:t xml:space="preserve"> elemen</w:t>
      </w:r>
      <w:r>
        <w:rPr>
          <w:rFonts w:ascii="Times New Roman" w:eastAsia="Times New Roman" w:hAnsi="Times New Roman" w:cs="Times New Roman"/>
          <w:sz w:val="28"/>
          <w:szCs w:val="28"/>
        </w:rPr>
        <w:t xml:space="preserve">ts, however, do not understand this complex reality of India. Since they had </w:t>
      </w:r>
      <w:hyperlink r:id="rId29">
        <w:r>
          <w:rPr>
            <w:rFonts w:ascii="Times New Roman" w:eastAsia="Times New Roman" w:hAnsi="Times New Roman" w:cs="Times New Roman"/>
            <w:color w:val="1155CC"/>
            <w:sz w:val="28"/>
            <w:szCs w:val="28"/>
            <w:u w:val="single"/>
          </w:rPr>
          <w:t>nothing to do with the anti-colonial struggle</w:t>
        </w:r>
      </w:hyperlink>
      <w:r>
        <w:rPr>
          <w:rFonts w:ascii="Times New Roman" w:eastAsia="Times New Roman" w:hAnsi="Times New Roman" w:cs="Times New Roman"/>
          <w:sz w:val="28"/>
          <w:szCs w:val="28"/>
        </w:rPr>
        <w:t>, a</w:t>
      </w:r>
      <w:r>
        <w:rPr>
          <w:rFonts w:ascii="Times New Roman" w:eastAsia="Times New Roman" w:hAnsi="Times New Roman" w:cs="Times New Roman"/>
          <w:sz w:val="28"/>
          <w:szCs w:val="28"/>
        </w:rPr>
        <w:t>nd since for them India is not a nation-in-the-making but a land of the “Hindus” that has constituted a “</w:t>
      </w:r>
      <w:hyperlink r:id="rId30">
        <w:r>
          <w:rPr>
            <w:rFonts w:ascii="Times New Roman" w:eastAsia="Times New Roman" w:hAnsi="Times New Roman" w:cs="Times New Roman"/>
            <w:color w:val="1155CC"/>
            <w:sz w:val="28"/>
            <w:szCs w:val="28"/>
            <w:u w:val="single"/>
          </w:rPr>
          <w:t>Hindu nati</w:t>
        </w:r>
        <w:r>
          <w:rPr>
            <w:rFonts w:ascii="Times New Roman" w:eastAsia="Times New Roman" w:hAnsi="Times New Roman" w:cs="Times New Roman"/>
            <w:color w:val="1155CC"/>
            <w:sz w:val="28"/>
            <w:szCs w:val="28"/>
            <w:u w:val="single"/>
          </w:rPr>
          <w:t>on</w:t>
        </w:r>
      </w:hyperlink>
      <w:r>
        <w:rPr>
          <w:rFonts w:ascii="Times New Roman" w:eastAsia="Times New Roman" w:hAnsi="Times New Roman" w:cs="Times New Roman"/>
          <w:sz w:val="28"/>
          <w:szCs w:val="28"/>
        </w:rPr>
        <w:t xml:space="preserve">” from time immemorial, they look down upon the regional-linguistic consciousness, and the composite pan-Indian consciousness built upon it; they seek to impose from the center a uniformity, such as </w:t>
      </w:r>
      <w:hyperlink r:id="rId31">
        <w:r>
          <w:rPr>
            <w:rFonts w:ascii="Times New Roman" w:eastAsia="Times New Roman" w:hAnsi="Times New Roman" w:cs="Times New Roman"/>
            <w:color w:val="1155CC"/>
            <w:sz w:val="28"/>
            <w:szCs w:val="28"/>
            <w:u w:val="single"/>
          </w:rPr>
          <w:t>“one language” and “one culture</w:t>
        </w:r>
      </w:hyperlink>
      <w:r>
        <w:rPr>
          <w:rFonts w:ascii="Times New Roman" w:eastAsia="Times New Roman" w:hAnsi="Times New Roman" w:cs="Times New Roman"/>
          <w:color w:val="1155CC"/>
          <w:sz w:val="28"/>
          <w:szCs w:val="28"/>
          <w:u w:val="single"/>
        </w:rPr>
        <w:t>,</w:t>
      </w:r>
      <w:hyperlink r:id="rId32">
        <w:r>
          <w:rPr>
            <w:rFonts w:ascii="Times New Roman" w:eastAsia="Times New Roman" w:hAnsi="Times New Roman" w:cs="Times New Roman"/>
            <w:color w:val="1155CC"/>
            <w:sz w:val="28"/>
            <w:szCs w:val="28"/>
            <w:u w:val="single"/>
          </w:rPr>
          <w:t>”</w:t>
        </w:r>
      </w:hyperlink>
      <w:r>
        <w:rPr>
          <w:rFonts w:ascii="Times New Roman" w:eastAsia="Times New Roman" w:hAnsi="Times New Roman" w:cs="Times New Roman"/>
          <w:sz w:val="28"/>
          <w:szCs w:val="28"/>
        </w:rPr>
        <w:t xml:space="preserve"> on everyone. They assume an immanent, e</w:t>
      </w:r>
      <w:r>
        <w:rPr>
          <w:rFonts w:ascii="Times New Roman" w:eastAsia="Times New Roman" w:hAnsi="Times New Roman" w:cs="Times New Roman"/>
          <w:sz w:val="28"/>
          <w:szCs w:val="28"/>
        </w:rPr>
        <w:t>ssential, and (philosophically) “idealist” unity from which every deviation then becomes “anti-national.” The negation of the federal character follows from this: federalism on this perception weakens the “nation.”</w:t>
      </w:r>
    </w:p>
    <w:p w14:paraId="00000010"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r>
        <w:rPr>
          <w:rFonts w:ascii="Times New Roman" w:eastAsia="Times New Roman" w:hAnsi="Times New Roman" w:cs="Times New Roman"/>
          <w:i/>
          <w:sz w:val="28"/>
          <w:szCs w:val="28"/>
        </w:rPr>
        <w:t>Hindutva</w:t>
      </w:r>
      <w:r>
        <w:rPr>
          <w:rFonts w:ascii="Times New Roman" w:eastAsia="Times New Roman" w:hAnsi="Times New Roman" w:cs="Times New Roman"/>
          <w:sz w:val="28"/>
          <w:szCs w:val="28"/>
        </w:rPr>
        <w:t xml:space="preserve"> elements, in short, are for </w:t>
      </w:r>
      <w:r>
        <w:rPr>
          <w:rFonts w:ascii="Times New Roman" w:eastAsia="Times New Roman" w:hAnsi="Times New Roman" w:cs="Times New Roman"/>
          <w:sz w:val="28"/>
          <w:szCs w:val="28"/>
        </w:rPr>
        <w:t>centralization not only for opportunistic reasons (which of course exist and are significant); but they are also intrinsically and immanently anti-federal, and in favor of a unitary state (as indeed all theocratic states tend to be).</w:t>
      </w:r>
    </w:p>
    <w:p w14:paraId="00000011"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Likewise, the corporat</w:t>
      </w:r>
      <w:r>
        <w:rPr>
          <w:rFonts w:ascii="Times New Roman" w:eastAsia="Times New Roman" w:hAnsi="Times New Roman" w:cs="Times New Roman"/>
          <w:sz w:val="28"/>
          <w:szCs w:val="28"/>
        </w:rPr>
        <w:t>e-financial oligarchy also favors centralization. The monopoly of capital over which this oligarchy presides represents centralization in the sphere of the economy; and for realizing its ambitions it requires the support of the state that must also be cent</w:t>
      </w:r>
      <w:r>
        <w:rPr>
          <w:rFonts w:ascii="Times New Roman" w:eastAsia="Times New Roman" w:hAnsi="Times New Roman" w:cs="Times New Roman"/>
          <w:sz w:val="28"/>
          <w:szCs w:val="28"/>
        </w:rPr>
        <w:t>ralized. A centralized state is the weapon that monopoly capital needs to further its ambitions.</w:t>
      </w:r>
    </w:p>
    <w:p w14:paraId="00000012"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There is, however, an important exception to this rule. There may be situations where the central government in a federal polity is less benign toward a monopo</w:t>
      </w:r>
      <w:r>
        <w:rPr>
          <w:rFonts w:ascii="Times New Roman" w:eastAsia="Times New Roman" w:hAnsi="Times New Roman" w:cs="Times New Roman"/>
          <w:sz w:val="28"/>
          <w:szCs w:val="28"/>
        </w:rPr>
        <w:t>ly capital, including a metropolitan capital, than the government of some particular regions within the country. In such a case, a monopoly or metropolitan capital (I am using the two terms interchangeably because the contemporary world is not characterize</w:t>
      </w:r>
      <w:r>
        <w:rPr>
          <w:rFonts w:ascii="Times New Roman" w:eastAsia="Times New Roman" w:hAnsi="Times New Roman" w:cs="Times New Roman"/>
          <w:sz w:val="28"/>
          <w:szCs w:val="28"/>
        </w:rPr>
        <w:t xml:space="preserve">d by intense inter-imperialist rivalry) would want a weakening of the </w:t>
      </w:r>
      <w:r>
        <w:rPr>
          <w:rFonts w:ascii="Times New Roman" w:eastAsia="Times New Roman" w:hAnsi="Times New Roman" w:cs="Times New Roman"/>
          <w:sz w:val="28"/>
          <w:szCs w:val="28"/>
        </w:rPr>
        <w:lastRenderedPageBreak/>
        <w:t>center and a strengthening of the regions</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it would, in short, want greater devolution of powers, resources and decision-making within the federal structure. Eventually, of course, it wou</w:t>
      </w:r>
      <w:r>
        <w:rPr>
          <w:rFonts w:ascii="Times New Roman" w:eastAsia="Times New Roman" w:hAnsi="Times New Roman" w:cs="Times New Roman"/>
          <w:sz w:val="28"/>
          <w:szCs w:val="28"/>
        </w:rPr>
        <w:t xml:space="preserve">ld encourage secessionism on the part of these regions, so that it can use the newly formed </w:t>
      </w:r>
      <w:r>
        <w:rPr>
          <w:rFonts w:ascii="Times New Roman" w:eastAsia="Times New Roman" w:hAnsi="Times New Roman" w:cs="Times New Roman"/>
          <w:i/>
          <w:sz w:val="28"/>
          <w:szCs w:val="28"/>
        </w:rPr>
        <w:t>centralized states</w:t>
      </w:r>
      <w:r>
        <w:rPr>
          <w:rFonts w:ascii="Times New Roman" w:eastAsia="Times New Roman" w:hAnsi="Times New Roman" w:cs="Times New Roman"/>
          <w:sz w:val="28"/>
          <w:szCs w:val="28"/>
        </w:rPr>
        <w:t>, through the breakup of the larger federal state, for its own purposes.</w:t>
      </w:r>
    </w:p>
    <w:p w14:paraId="00000013"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hyperlink r:id="rId33">
        <w:r>
          <w:rPr>
            <w:rFonts w:ascii="Times New Roman" w:eastAsia="Times New Roman" w:hAnsi="Times New Roman" w:cs="Times New Roman"/>
            <w:color w:val="1155CC"/>
            <w:sz w:val="28"/>
            <w:szCs w:val="28"/>
            <w:u w:val="single"/>
          </w:rPr>
          <w:t>breakup of Yugoslavia</w:t>
        </w:r>
      </w:hyperlink>
      <w:r>
        <w:rPr>
          <w:rFonts w:ascii="Times New Roman" w:eastAsia="Times New Roman" w:hAnsi="Times New Roman" w:cs="Times New Roman"/>
          <w:sz w:val="28"/>
          <w:szCs w:val="28"/>
        </w:rPr>
        <w:t xml:space="preserve"> is the obvious example here. The German capital encouraged the </w:t>
      </w:r>
      <w:hyperlink r:id="rId34">
        <w:r>
          <w:rPr>
            <w:rFonts w:ascii="Times New Roman" w:eastAsia="Times New Roman" w:hAnsi="Times New Roman" w:cs="Times New Roman"/>
            <w:color w:val="1155CC"/>
            <w:sz w:val="28"/>
            <w:szCs w:val="28"/>
            <w:u w:val="single"/>
          </w:rPr>
          <w:t>breakup</w:t>
        </w:r>
      </w:hyperlink>
      <w:r>
        <w:rPr>
          <w:rFonts w:ascii="Times New Roman" w:eastAsia="Times New Roman" w:hAnsi="Times New Roman" w:cs="Times New Roman"/>
          <w:sz w:val="28"/>
          <w:szCs w:val="28"/>
        </w:rPr>
        <w:t xml:space="preserve"> of Yugoslavia because it had little hope of</w:t>
      </w:r>
      <w:r>
        <w:rPr>
          <w:rFonts w:ascii="Times New Roman" w:eastAsia="Times New Roman" w:hAnsi="Times New Roman" w:cs="Times New Roman"/>
          <w:sz w:val="28"/>
          <w:szCs w:val="28"/>
        </w:rPr>
        <w:t xml:space="preserve"> establishing its hegemony over the central government in a united Yugoslavia, since Serbia, with its history of anti-Nazi struggle and deep suspicions about the ambitions of the German capital, was a powerful entity in any such united country.</w:t>
      </w:r>
    </w:p>
    <w:p w14:paraId="00000014"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But of cour</w:t>
      </w:r>
      <w:r>
        <w:rPr>
          <w:rFonts w:ascii="Times New Roman" w:eastAsia="Times New Roman" w:hAnsi="Times New Roman" w:cs="Times New Roman"/>
          <w:sz w:val="28"/>
          <w:szCs w:val="28"/>
        </w:rPr>
        <w:t xml:space="preserve">se, where the central government is itself amenable to </w:t>
      </w:r>
      <w:hyperlink r:id="rId35">
        <w:r>
          <w:rPr>
            <w:rFonts w:ascii="Times New Roman" w:eastAsia="Times New Roman" w:hAnsi="Times New Roman" w:cs="Times New Roman"/>
            <w:color w:val="1155CC"/>
            <w:sz w:val="28"/>
            <w:szCs w:val="28"/>
            <w:u w:val="single"/>
          </w:rPr>
          <w:t>furthering the interests of the corporate-financial oligarchy</w:t>
        </w:r>
      </w:hyperlink>
      <w:r>
        <w:rPr>
          <w:rFonts w:ascii="Times New Roman" w:eastAsia="Times New Roman" w:hAnsi="Times New Roman" w:cs="Times New Roman"/>
          <w:sz w:val="28"/>
          <w:szCs w:val="28"/>
        </w:rPr>
        <w:t>, as in India, th</w:t>
      </w:r>
      <w:r>
        <w:rPr>
          <w:rFonts w:ascii="Times New Roman" w:eastAsia="Times New Roman" w:hAnsi="Times New Roman" w:cs="Times New Roman"/>
          <w:sz w:val="28"/>
          <w:szCs w:val="28"/>
        </w:rPr>
        <w:t>is oligarchy favors a weakening of the federal structure, and a centralization of powers, resources and decision-making, so that its ambitions are furthered without its having to deal with a range of state-level governments: the latter could have ideas abo</w:t>
      </w:r>
      <w:r>
        <w:rPr>
          <w:rFonts w:ascii="Times New Roman" w:eastAsia="Times New Roman" w:hAnsi="Times New Roman" w:cs="Times New Roman"/>
          <w:sz w:val="28"/>
          <w:szCs w:val="28"/>
        </w:rPr>
        <w:t>ut entrusting projects to local producers, or to the public sector, or about compensation to peasants for lands being taken over from them, that are inconvenient to the corporate-financial oligarchy. The recently enacted agriculture bills, which open the w</w:t>
      </w:r>
      <w:r>
        <w:rPr>
          <w:rFonts w:ascii="Times New Roman" w:eastAsia="Times New Roman" w:hAnsi="Times New Roman" w:cs="Times New Roman"/>
          <w:sz w:val="28"/>
          <w:szCs w:val="28"/>
        </w:rPr>
        <w:t xml:space="preserve">ay for </w:t>
      </w:r>
      <w:hyperlink r:id="rId36">
        <w:r>
          <w:rPr>
            <w:rFonts w:ascii="Times New Roman" w:eastAsia="Times New Roman" w:hAnsi="Times New Roman" w:cs="Times New Roman"/>
            <w:color w:val="1155CC"/>
            <w:sz w:val="28"/>
            <w:szCs w:val="28"/>
            <w:u w:val="single"/>
          </w:rPr>
          <w:t>corporate encroachment</w:t>
        </w:r>
      </w:hyperlink>
      <w:r>
        <w:rPr>
          <w:rFonts w:ascii="Times New Roman" w:eastAsia="Times New Roman" w:hAnsi="Times New Roman" w:cs="Times New Roman"/>
          <w:sz w:val="28"/>
          <w:szCs w:val="28"/>
        </w:rPr>
        <w:t xml:space="preserve"> on peasant agriculture through contract farming and unregulated markets, would never have been permitted by several </w:t>
      </w:r>
      <w:hyperlink r:id="rId37">
        <w:r>
          <w:rPr>
            <w:rFonts w:ascii="Times New Roman" w:eastAsia="Times New Roman" w:hAnsi="Times New Roman" w:cs="Times New Roman"/>
            <w:color w:val="1155CC"/>
            <w:sz w:val="28"/>
            <w:szCs w:val="28"/>
            <w:u w:val="single"/>
          </w:rPr>
          <w:t>state l</w:t>
        </w:r>
        <w:r>
          <w:rPr>
            <w:rFonts w:ascii="Times New Roman" w:eastAsia="Times New Roman" w:hAnsi="Times New Roman" w:cs="Times New Roman"/>
            <w:color w:val="1155CC"/>
            <w:sz w:val="28"/>
            <w:szCs w:val="28"/>
            <w:u w:val="single"/>
          </w:rPr>
          <w:t>egislatures</w:t>
        </w:r>
      </w:hyperlink>
      <w:r>
        <w:rPr>
          <w:rFonts w:ascii="Times New Roman" w:eastAsia="Times New Roman" w:hAnsi="Times New Roman" w:cs="Times New Roman"/>
          <w:sz w:val="28"/>
          <w:szCs w:val="28"/>
        </w:rPr>
        <w:t xml:space="preserve">; they are being thrust down the throats of the states through central legislation whose very legality is suspect. The fact that such legislation is imposed despite </w:t>
      </w:r>
      <w:hyperlink r:id="rId38">
        <w:r>
          <w:rPr>
            <w:rFonts w:ascii="Times New Roman" w:eastAsia="Times New Roman" w:hAnsi="Times New Roman" w:cs="Times New Roman"/>
            <w:color w:val="1155CC"/>
            <w:sz w:val="28"/>
            <w:szCs w:val="28"/>
            <w:u w:val="single"/>
          </w:rPr>
          <w:t>suspect legality</w:t>
        </w:r>
      </w:hyperlink>
      <w:r>
        <w:rPr>
          <w:rFonts w:ascii="Times New Roman" w:eastAsia="Times New Roman" w:hAnsi="Times New Roman" w:cs="Times New Roman"/>
          <w:sz w:val="28"/>
          <w:szCs w:val="28"/>
        </w:rPr>
        <w:t xml:space="preserve"> is of course indicative of the degree to which the judiciary has lost its independence vis-à-vis the central government.</w:t>
      </w:r>
    </w:p>
    <w:p w14:paraId="00000015"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On the question of converting India into a de facto unitary state, therefore, there is a conver</w:t>
      </w:r>
      <w:r>
        <w:rPr>
          <w:rFonts w:ascii="Times New Roman" w:eastAsia="Times New Roman" w:hAnsi="Times New Roman" w:cs="Times New Roman"/>
          <w:sz w:val="28"/>
          <w:szCs w:val="28"/>
        </w:rPr>
        <w:t xml:space="preserve">gence of views between the </w:t>
      </w:r>
      <w:r>
        <w:rPr>
          <w:rFonts w:ascii="Times New Roman" w:eastAsia="Times New Roman" w:hAnsi="Times New Roman" w:cs="Times New Roman"/>
          <w:i/>
          <w:sz w:val="28"/>
          <w:szCs w:val="28"/>
        </w:rPr>
        <w:t>Hindutva</w:t>
      </w:r>
      <w:r>
        <w:rPr>
          <w:rFonts w:ascii="Times New Roman" w:eastAsia="Times New Roman" w:hAnsi="Times New Roman" w:cs="Times New Roman"/>
          <w:sz w:val="28"/>
          <w:szCs w:val="28"/>
        </w:rPr>
        <w:t xml:space="preserve"> forces and the corporate-financial oligarchy; the current Bharatiya Janata Party government at the center, which represents a corporate-</w:t>
      </w:r>
      <w:r>
        <w:rPr>
          <w:rFonts w:ascii="Times New Roman" w:eastAsia="Times New Roman" w:hAnsi="Times New Roman" w:cs="Times New Roman"/>
          <w:i/>
          <w:sz w:val="28"/>
          <w:szCs w:val="28"/>
        </w:rPr>
        <w:t>Hindutva</w:t>
      </w:r>
      <w:r>
        <w:rPr>
          <w:rFonts w:ascii="Times New Roman" w:eastAsia="Times New Roman" w:hAnsi="Times New Roman" w:cs="Times New Roman"/>
          <w:sz w:val="28"/>
          <w:szCs w:val="28"/>
        </w:rPr>
        <w:t xml:space="preserve"> alliance, is engaged, not surprisingly, in carrying this project forward. I</w:t>
      </w:r>
      <w:r>
        <w:rPr>
          <w:rFonts w:ascii="Times New Roman" w:eastAsia="Times New Roman" w:hAnsi="Times New Roman" w:cs="Times New Roman"/>
          <w:sz w:val="28"/>
          <w:szCs w:val="28"/>
        </w:rPr>
        <w:t xml:space="preserve">t is not only in center-state political and economic relations that this tendency is manifest. Even in the spheres of culture and education, there is a strong parallel tendency. The subtle attempt to </w:t>
      </w:r>
      <w:hyperlink r:id="rId39">
        <w:r>
          <w:rPr>
            <w:rFonts w:ascii="Times New Roman" w:eastAsia="Times New Roman" w:hAnsi="Times New Roman" w:cs="Times New Roman"/>
            <w:color w:val="1155CC"/>
            <w:sz w:val="28"/>
            <w:szCs w:val="28"/>
            <w:u w:val="single"/>
          </w:rPr>
          <w:t>impose</w:t>
        </w:r>
      </w:hyperlink>
      <w:r>
        <w:rPr>
          <w:rFonts w:ascii="Times New Roman" w:eastAsia="Times New Roman" w:hAnsi="Times New Roman" w:cs="Times New Roman"/>
          <w:sz w:val="28"/>
          <w:szCs w:val="28"/>
        </w:rPr>
        <w:t xml:space="preserve"> Hindi language on non-Hindi speaking states in India under the NEP may have been thwarted for the time being, but it will be revived again. The curriculum in the NEP is supposed to be </w:t>
      </w:r>
      <w:r>
        <w:rPr>
          <w:rFonts w:ascii="Times New Roman" w:eastAsia="Times New Roman" w:hAnsi="Times New Roman" w:cs="Times New Roman"/>
          <w:sz w:val="28"/>
          <w:szCs w:val="28"/>
        </w:rPr>
        <w:lastRenderedPageBreak/>
        <w:t xml:space="preserve">centrally prescribed with </w:t>
      </w:r>
      <w:hyperlink r:id="rId40">
        <w:r>
          <w:rPr>
            <w:rFonts w:ascii="Times New Roman" w:eastAsia="Times New Roman" w:hAnsi="Times New Roman" w:cs="Times New Roman"/>
            <w:color w:val="1155CC"/>
            <w:sz w:val="28"/>
            <w:szCs w:val="28"/>
            <w:u w:val="single"/>
          </w:rPr>
          <w:t>no consultations</w:t>
        </w:r>
      </w:hyperlink>
      <w:r>
        <w:rPr>
          <w:rFonts w:ascii="Times New Roman" w:eastAsia="Times New Roman" w:hAnsi="Times New Roman" w:cs="Times New Roman"/>
          <w:sz w:val="28"/>
          <w:szCs w:val="28"/>
        </w:rPr>
        <w:t xml:space="preserve"> with states. All these are pointers to the imposition of the “one culture” idea in the place of the diversity that defines India.</w:t>
      </w:r>
    </w:p>
    <w:p w14:paraId="00000016" w14:textId="77777777" w:rsidR="000F2FEC" w:rsidRDefault="00151D02">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country, however, will hav</w:t>
      </w:r>
      <w:r>
        <w:rPr>
          <w:rFonts w:ascii="Times New Roman" w:eastAsia="Times New Roman" w:hAnsi="Times New Roman" w:cs="Times New Roman"/>
          <w:sz w:val="28"/>
          <w:szCs w:val="28"/>
        </w:rPr>
        <w:t>e to pay a heavy price for this thrusting of a uniformity that ignores and overrides completely the reality of regional-linguistic consciousness</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for it will create its very opposite effect in ways that are dangerous for our future.</w:t>
      </w:r>
    </w:p>
    <w:sectPr w:rsidR="000F2F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EC"/>
    <w:rsid w:val="000F2FEC"/>
    <w:rsid w:val="00151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6385569-0F3D-BB43-9D42-D2835036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howtoexportimport.com/3-commodities-not-fall-under-GST-in-India-4272.aspx" TargetMode="External"/><Relationship Id="rId18" Type="http://schemas.openxmlformats.org/officeDocument/2006/relationships/hyperlink" Target="https://indianexpress.com/article/explained/agriculture-ordinances-punjab-haryana-farmers-protest-explainspeaking-6603039/" TargetMode="External"/><Relationship Id="rId26" Type="http://schemas.openxmlformats.org/officeDocument/2006/relationships/hyperlink" Target="https://www.thehindu.com/opinion/lead/decoding-the-corporate-hindutva-alliance/article29577507.ece" TargetMode="External"/><Relationship Id="rId39" Type="http://schemas.openxmlformats.org/officeDocument/2006/relationships/hyperlink" Target="https://thewire.in/education/national-education-policy-2020-rss" TargetMode="External"/><Relationship Id="rId21" Type="http://schemas.openxmlformats.org/officeDocument/2006/relationships/hyperlink" Target="https://thewire.in/government/kashmir-is-the-test-bed-for-a-new-model-of-internal-colonialism" TargetMode="External"/><Relationship Id="rId34" Type="http://schemas.openxmlformats.org/officeDocument/2006/relationships/hyperlink" Target="https://www.nytimes.com/1992/01/16/world/europe-backing-germans-accepts-yugoslav-breakup.html" TargetMode="External"/><Relationship Id="rId42" Type="http://schemas.openxmlformats.org/officeDocument/2006/relationships/theme" Target="theme/theme1.xml"/><Relationship Id="rId7" Type="http://schemas.openxmlformats.org/officeDocument/2006/relationships/hyperlink" Target="https://indianexpress.com/article/explained/the-preamble-what-does-it-say-and-what-does-it-mean-to-india-and-its-constitution-6232014/" TargetMode="External"/><Relationship Id="rId2" Type="http://schemas.openxmlformats.org/officeDocument/2006/relationships/settings" Target="settings.xml"/><Relationship Id="rId16" Type="http://schemas.openxmlformats.org/officeDocument/2006/relationships/hyperlink" Target="https://www.mhrd.gov.in/sites/upload_files/mhrd/files/NEP_Final_English_0.pdf" TargetMode="External"/><Relationship Id="rId20" Type="http://schemas.openxmlformats.org/officeDocument/2006/relationships/hyperlink" Target="https://scroll.in/article/942159/the-daily-fix-the-reorganisation-of-j-k-into-two-union-territories-starts-with-no-clear-roadmap" TargetMode="External"/><Relationship Id="rId29" Type="http://schemas.openxmlformats.org/officeDocument/2006/relationships/hyperlink" Target="https://www.trtworld.com/magazine/in-india-s-anti-colonial-struggle-hindu-nationalists-were-anti-national-3892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n.wikipedia.org/wiki/K._T._Shah" TargetMode="External"/><Relationship Id="rId11" Type="http://schemas.openxmlformats.org/officeDocument/2006/relationships/hyperlink" Target="https://www.financialexpress.com/what-is/goods-and-services-tax-gst-meaning/1620322/" TargetMode="External"/><Relationship Id="rId24" Type="http://schemas.openxmlformats.org/officeDocument/2006/relationships/hyperlink" Target="https://www.thehindu.com/opinion/lead/decoding-the-corporate-hindutva-alliance/article29577507.ece" TargetMode="External"/><Relationship Id="rId32" Type="http://schemas.openxmlformats.org/officeDocument/2006/relationships/hyperlink" Target="https://indianexpress.com/article/opinion/columns/hindi-imposition-one-nation-one-language-6011348/" TargetMode="External"/><Relationship Id="rId37" Type="http://schemas.openxmlformats.org/officeDocument/2006/relationships/hyperlink" Target="https://www.thehindu.com/news/national/farm-laws-are-a-clear-encroachment-on-state-functions/article32734568.ece" TargetMode="External"/><Relationship Id="rId40" Type="http://schemas.openxmlformats.org/officeDocument/2006/relationships/hyperlink" Target="https://www.tribuneindia.com/news/comment/imposing-nep-on-states-124964" TargetMode="External"/><Relationship Id="rId5" Type="http://schemas.openxmlformats.org/officeDocument/2006/relationships/hyperlink" Target="https://www.constitutionofindia.net/constitution_making_process/constituent_assembly" TargetMode="External"/><Relationship Id="rId15" Type="http://schemas.openxmlformats.org/officeDocument/2006/relationships/hyperlink" Target="https://en.wikipedia.org/wiki/Concurrent_List" TargetMode="External"/><Relationship Id="rId23" Type="http://schemas.openxmlformats.org/officeDocument/2006/relationships/hyperlink" Target="https://www.asianstudies.org/publications/eaa/archives/on-the-difference-between-hinduism-and-hindutva/" TargetMode="External"/><Relationship Id="rId28" Type="http://schemas.openxmlformats.org/officeDocument/2006/relationships/hyperlink" Target="https://www.telegraphindia.com/opinion/the-hindutva-concept-of-nationalism-is-essentially-non-accommodative/cid/1717368" TargetMode="External"/><Relationship Id="rId36" Type="http://schemas.openxmlformats.org/officeDocument/2006/relationships/hyperlink" Target="https://www.thehindu.com/news/national/explainer-why-are-the-agriculture-bills-being-opposed/article32618641.ece" TargetMode="External"/><Relationship Id="rId10" Type="http://schemas.openxmlformats.org/officeDocument/2006/relationships/hyperlink" Target="https://scroll.in/article/823468/in-the-name-of-cooperative-federalism-the-centre-is-practicing-coercive-federalism" TargetMode="External"/><Relationship Id="rId19" Type="http://schemas.openxmlformats.org/officeDocument/2006/relationships/hyperlink" Target="https://scroll.in/article/973678/centres-farm-bills-attempt-to-bypass-state-laws-on-agriculture-how-can-the-states-respond" TargetMode="External"/><Relationship Id="rId31" Type="http://schemas.openxmlformats.org/officeDocument/2006/relationships/hyperlink" Target="https://indianexpress.com/article/opinion/columns/hindi-imposition-one-nation-one-language-6011348/" TargetMode="External"/><Relationship Id="rId4" Type="http://schemas.openxmlformats.org/officeDocument/2006/relationships/hyperlink" Target="https://independentmediainstitute.org/globetrotter/" TargetMode="External"/><Relationship Id="rId9" Type="http://schemas.openxmlformats.org/officeDocument/2006/relationships/hyperlink" Target="https://www.mea.gov.in/Images/pdf1/S7.pdf" TargetMode="External"/><Relationship Id="rId14" Type="http://schemas.openxmlformats.org/officeDocument/2006/relationships/hyperlink" Target="https://www.deccanherald.com/business/centre-says-can-t-pay-asks-states-to-borrow-money-to-fund-gst-shortfall-878887.html" TargetMode="External"/><Relationship Id="rId22" Type="http://schemas.openxmlformats.org/officeDocument/2006/relationships/hyperlink" Target="https://www.thehindu.com/opinion/op-ed/the-indian-constitutions-unitary-tilt/article30516202.ece" TargetMode="External"/><Relationship Id="rId27" Type="http://schemas.openxmlformats.org/officeDocument/2006/relationships/hyperlink" Target="https://www.thehindu.com/thread/arts-culture-society/india-a-land-of-many-tongues/article19445187.ece" TargetMode="External"/><Relationship Id="rId30" Type="http://schemas.openxmlformats.org/officeDocument/2006/relationships/hyperlink" Target="https://www.theguardian.com/world/2020/feb/20/hindu-supremacists-nationalism-tearing-india-apart-modi-bjp-rss-jnu-attacks" TargetMode="External"/><Relationship Id="rId35" Type="http://schemas.openxmlformats.org/officeDocument/2006/relationships/hyperlink" Target="https://oxford.universitypressscholarship.com/view/10.1093/oso/9780190912468.001.0001/oso-9780190912468" TargetMode="External"/><Relationship Id="rId8" Type="http://schemas.openxmlformats.org/officeDocument/2006/relationships/hyperlink" Target="https://en.wikipedia.org/wiki/B._R._Ambedkar" TargetMode="External"/><Relationship Id="rId3" Type="http://schemas.openxmlformats.org/officeDocument/2006/relationships/webSettings" Target="webSettings.xml"/><Relationship Id="rId12" Type="http://schemas.openxmlformats.org/officeDocument/2006/relationships/hyperlink" Target="https://thewire.in/government/fiscal-federalism-finance-commission-states-taxes" TargetMode="External"/><Relationship Id="rId17" Type="http://schemas.openxmlformats.org/officeDocument/2006/relationships/hyperlink" Target="https://www.thehindu.com/news/national/nep-not-passed-in-parliament-states-not-taken-into-confidence-wb-minister/article32248361.ece" TargetMode="External"/><Relationship Id="rId25" Type="http://schemas.openxmlformats.org/officeDocument/2006/relationships/hyperlink" Target="https://www.thehindu.com/opinion/lead/decoding-the-corporate-hindutva-alliance/article29577507.ece" TargetMode="External"/><Relationship Id="rId33" Type="http://schemas.openxmlformats.org/officeDocument/2006/relationships/hyperlink" Target="https://www.pmpress.org/index.php?l=product_detail&amp;p=881" TargetMode="External"/><Relationship Id="rId38" Type="http://schemas.openxmlformats.org/officeDocument/2006/relationships/hyperlink" Target="https://www.livelaw.in/columns/farmers-bill-exposing-the-lambs-to-the-wolves-163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2095</Words>
  <Characters>11942</Characters>
  <Application>Microsoft Office Word</Application>
  <DocSecurity>0</DocSecurity>
  <Lines>99</Lines>
  <Paragraphs>28</Paragraphs>
  <ScaleCrop>false</ScaleCrop>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2020-11-05T04:48:00Z</dcterms:created>
  <dcterms:modified xsi:type="dcterms:W3CDTF">2020-11-05T04:49:00Z</dcterms:modified>
</cp:coreProperties>
</file>